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仿宋"/>
          <w:lang w:val="en-US"/>
        </w:rPr>
      </w:pPr>
      <w:bookmarkStart w:id="0" w:name="_GoBack"/>
      <w:r>
        <w:rPr>
          <w:rFonts w:hint="eastAsia" w:ascii="Times New Roman" w:hAnsi="Times New Roman" w:eastAsia="仿宋" w:cs="仿宋"/>
        </w:rPr>
        <w:drawing>
          <wp:anchor distT="0" distB="0" distL="0" distR="0" simplePos="0" relativeHeight="251660288" behindDoc="1" locked="0" layoutInCell="1" allowOverlap="1">
            <wp:simplePos x="0" y="0"/>
            <wp:positionH relativeFrom="column">
              <wp:posOffset>-1019810</wp:posOffset>
            </wp:positionH>
            <wp:positionV relativeFrom="paragraph">
              <wp:posOffset>307340</wp:posOffset>
            </wp:positionV>
            <wp:extent cx="7846060" cy="8187055"/>
            <wp:effectExtent l="0" t="0" r="2540" b="4445"/>
            <wp:wrapNone/>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5" cstate="print"/>
                    <a:srcRect/>
                    <a:stretch>
                      <a:fillRect/>
                    </a:stretch>
                  </pic:blipFill>
                  <pic:spPr>
                    <a:xfrm>
                      <a:off x="0" y="0"/>
                      <a:ext cx="7846060" cy="8187055"/>
                    </a:xfrm>
                    <a:prstGeom prst="rect">
                      <a:avLst/>
                    </a:prstGeom>
                    <a:ln>
                      <a:noFill/>
                    </a:ln>
                  </pic:spPr>
                </pic:pic>
              </a:graphicData>
            </a:graphic>
          </wp:anchor>
        </w:drawing>
      </w:r>
      <w:bookmarkEnd w:id="0"/>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 w:cs="仿宋"/>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 w:cs="仿宋"/>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 w:cs="仿宋"/>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 xml:space="preserve">新源县统计局        </w:t>
      </w:r>
      <w:r>
        <w:rPr>
          <w:rFonts w:hint="eastAsia" w:ascii="宋体" w:hAnsi="宋体" w:cs="宋体"/>
          <w:b/>
          <w:bCs/>
          <w:color w:val="000000"/>
          <w:sz w:val="32"/>
          <w:szCs w:val="32"/>
          <w:lang w:val="en-US" w:eastAsia="zh-CN"/>
        </w:rPr>
        <w:t>第八</w:t>
      </w:r>
      <w:r>
        <w:rPr>
          <w:rFonts w:hint="eastAsia" w:ascii="宋体" w:hAnsi="宋体" w:eastAsia="宋体" w:cs="宋体"/>
          <w:b/>
          <w:bCs/>
          <w:color w:val="000000"/>
          <w:sz w:val="32"/>
          <w:szCs w:val="32"/>
          <w:lang w:val="en-US" w:eastAsia="zh-CN"/>
        </w:rPr>
        <w:t>期        二〇</w:t>
      </w:r>
      <w:r>
        <w:rPr>
          <w:rFonts w:hint="eastAsia" w:ascii="宋体" w:hAnsi="宋体" w:cs="宋体"/>
          <w:b/>
          <w:bCs/>
          <w:color w:val="000000"/>
          <w:sz w:val="32"/>
          <w:szCs w:val="32"/>
          <w:lang w:val="en-US" w:eastAsia="zh-CN"/>
        </w:rPr>
        <w:t>二四</w:t>
      </w:r>
      <w:r>
        <w:rPr>
          <w:rFonts w:hint="eastAsia" w:ascii="宋体" w:hAnsi="宋体" w:eastAsia="宋体" w:cs="宋体"/>
          <w:b/>
          <w:bCs/>
          <w:color w:val="000000"/>
          <w:sz w:val="32"/>
          <w:szCs w:val="32"/>
          <w:lang w:val="en-US" w:eastAsia="zh-CN"/>
        </w:rPr>
        <w:t>年</w:t>
      </w:r>
      <w:r>
        <w:rPr>
          <w:rFonts w:hint="eastAsia" w:ascii="宋体" w:hAnsi="宋体" w:cs="宋体"/>
          <w:b/>
          <w:bCs/>
          <w:color w:val="000000"/>
          <w:sz w:val="32"/>
          <w:szCs w:val="32"/>
          <w:lang w:val="en-US" w:eastAsia="zh-CN"/>
        </w:rPr>
        <w:t>九月</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仿宋" w:cs="仿宋"/>
          <w:color w:val="000000"/>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b/>
          <w:bCs/>
          <w:color w:val="333333"/>
          <w:sz w:val="36"/>
          <w:szCs w:val="36"/>
          <w:shd w:val="clear" w:fill="FFFFFF"/>
          <w:lang w:val="en-US" w:eastAsia="zh-CN"/>
        </w:rPr>
      </w:pPr>
      <w:r>
        <w:rPr>
          <w:rFonts w:hint="eastAsia" w:ascii="Times New Roman" w:hAnsi="Times New Roman"/>
          <w:b/>
          <w:bCs/>
          <w:color w:val="333333"/>
          <w:sz w:val="36"/>
          <w:szCs w:val="36"/>
          <w:shd w:val="clear" w:fill="FFFFFF"/>
          <w:lang w:val="en-US" w:eastAsia="zh-CN"/>
        </w:rPr>
        <w:t>新源县1-8月经济运行分析</w:t>
      </w:r>
    </w:p>
    <w:p>
      <w:pPr>
        <w:pStyle w:val="9"/>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2024年，全县上下坚持以习近平总书记系列重要讲话精神为指导，深入贯彻落实党的二十大精神，完整准确落实新时代党的治疆方略，现对1-8月经济运行情况做简要分析。</w:t>
      </w:r>
    </w:p>
    <w:p>
      <w:pPr>
        <w:pStyle w:val="9"/>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val="en-US" w:eastAsia="zh-CN"/>
        </w:rPr>
        <w:t>一、主要经济指标完成情况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_GB2312" w:cs="仿宋_GB2312"/>
          <w:b/>
          <w:bCs/>
          <w:color w:val="auto"/>
          <w:kern w:val="0"/>
          <w:sz w:val="32"/>
          <w:szCs w:val="32"/>
          <w:lang w:val="en-US" w:eastAsia="zh-CN"/>
        </w:rPr>
      </w:pPr>
      <w:r>
        <w:rPr>
          <w:rFonts w:hint="eastAsia" w:ascii="Times New Roman" w:hAnsi="Times New Roman" w:eastAsia="黑体" w:cs="黑体"/>
          <w:b w:val="0"/>
          <w:bCs w:val="0"/>
          <w:sz w:val="32"/>
          <w:szCs w:val="32"/>
          <w:lang w:val="en-US" w:eastAsia="zh-CN"/>
        </w:rPr>
        <w:t>1.工业生产持续回落</w:t>
      </w:r>
      <w:r>
        <w:rPr>
          <w:rFonts w:hint="eastAsia" w:ascii="Times New Roman" w:hAnsi="Times New Roman" w:eastAsia="仿宋_GB2312" w:cs="仿宋_GB2312"/>
          <w:b w:val="0"/>
          <w:bCs w:val="0"/>
          <w:sz w:val="32"/>
          <w:szCs w:val="32"/>
          <w:lang w:val="en-US" w:eastAsia="zh-CN"/>
        </w:rPr>
        <w:t>。1-8月，规模以上工业</w:t>
      </w:r>
      <w:r>
        <w:rPr>
          <w:rFonts w:hint="eastAsia" w:ascii="Times New Roman" w:hAnsi="Times New Roman" w:eastAsia="仿宋" w:cs="仿宋"/>
          <w:sz w:val="32"/>
          <w:szCs w:val="40"/>
          <w:lang w:val="en-US" w:eastAsia="zh-CN"/>
        </w:rPr>
        <w:t>累计完成工业总产值54.73亿元，同比下降39.4%，实现增加值10.68亿元，同比下降16.2%</w:t>
      </w:r>
      <w:r>
        <w:rPr>
          <w:rFonts w:hint="eastAsia" w:ascii="Times New Roman" w:hAnsi="Times New Roman" w:eastAsia="仿宋_GB2312" w:cs="仿宋_GB2312"/>
          <w:b w:val="0"/>
          <w:bCs w:val="0"/>
          <w:sz w:val="32"/>
          <w:szCs w:val="32"/>
          <w:lang w:val="en-US" w:eastAsia="zh-CN"/>
        </w:rPr>
        <w:t>，增速比二季度、上年同期分别回落2.7、35.2个百分点。</w:t>
      </w:r>
      <w:r>
        <w:rPr>
          <w:rFonts w:hint="eastAsia" w:ascii="Times New Roman" w:hAnsi="Times New Roman" w:eastAsia="仿宋_GB2312" w:cs="仿宋_GB2312"/>
          <w:b/>
          <w:bCs/>
          <w:sz w:val="32"/>
          <w:szCs w:val="32"/>
          <w:lang w:val="en-US" w:eastAsia="zh-CN"/>
        </w:rPr>
        <w:t>分月来看，</w:t>
      </w:r>
      <w:r>
        <w:rPr>
          <w:rFonts w:hint="eastAsia" w:ascii="Times New Roman" w:hAnsi="Times New Roman" w:eastAsia="仿宋_GB2312" w:cs="仿宋_GB2312"/>
          <w:b w:val="0"/>
          <w:bCs w:val="0"/>
          <w:sz w:val="32"/>
          <w:szCs w:val="32"/>
          <w:lang w:val="en-US" w:eastAsia="zh-CN"/>
        </w:rPr>
        <w:t>2月增速-41.3%，3月增速-16%，4月增速-30.6%，5月增速-13.3%，6月增速-14.7%，7月增速-29.8%，8月增速-36.5%，处于持续回落的态势</w:t>
      </w:r>
      <w:r>
        <w:rPr>
          <w:rFonts w:hint="eastAsia" w:ascii="Times New Roman" w:hAnsi="Times New Roman" w:eastAsia="仿宋_GB2312" w:cs="仿宋_GB2312"/>
          <w:b/>
          <w:bCs/>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_GB2312" w:cs="仿宋_GB2312"/>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支柱产业呈“双降”态势</w:t>
      </w:r>
      <w:r>
        <w:rPr>
          <w:rFonts w:hint="eastAsia" w:ascii="Times New Roman" w:hAnsi="Times New Roman" w:eastAsia="仿宋_GB2312" w:cs="仿宋_GB2312"/>
          <w:b w:val="0"/>
          <w:bCs w:val="0"/>
          <w:color w:val="auto"/>
          <w:kern w:val="0"/>
          <w:sz w:val="32"/>
          <w:szCs w:val="32"/>
          <w:lang w:val="en-US" w:eastAsia="zh-CN"/>
        </w:rPr>
        <w:t>。黑色金属冶炼和压延加工业和非金属矿物制品业增加值增速分别为-23.2%和-16.9%，两行业增加值占规模以上工业增加值的比重达74.88%，对新源工业有举足轻重的作用，支柱产业呈“双降”态势。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_GB2312" w:cs="仿宋_GB2312"/>
          <w:b/>
          <w:bCs/>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工业产品产量“六升八降”。</w:t>
      </w:r>
      <w:r>
        <w:rPr>
          <w:rFonts w:hint="eastAsia" w:ascii="Times New Roman" w:hAnsi="Times New Roman" w:eastAsia="仿宋_GB2312" w:cs="仿宋_GB2312"/>
          <w:color w:val="auto"/>
          <w:kern w:val="0"/>
          <w:sz w:val="32"/>
          <w:szCs w:val="32"/>
          <w:lang w:val="en-US" w:eastAsia="zh-CN"/>
        </w:rPr>
        <w:t>从工业主要产品产量来看，</w:t>
      </w:r>
      <w:r>
        <w:rPr>
          <w:rFonts w:hint="eastAsia" w:ascii="Times New Roman" w:hAnsi="Times New Roman" w:eastAsia="仿宋_GB2312" w:cs="仿宋_GB2312"/>
          <w:b/>
          <w:bCs/>
          <w:color w:val="auto"/>
          <w:kern w:val="0"/>
          <w:sz w:val="32"/>
          <w:szCs w:val="32"/>
          <w:lang w:val="en-US" w:eastAsia="zh-CN"/>
        </w:rPr>
        <w:t>“六升”：</w:t>
      </w:r>
      <w:r>
        <w:rPr>
          <w:rFonts w:hint="eastAsia" w:ascii="Times New Roman" w:hAnsi="Times New Roman" w:eastAsia="仿宋_GB2312" w:cs="仿宋_GB2312"/>
          <w:color w:val="auto"/>
          <w:kern w:val="0"/>
          <w:sz w:val="32"/>
          <w:szCs w:val="32"/>
          <w:lang w:val="en-US" w:eastAsia="zh-CN"/>
        </w:rPr>
        <w:t>铁矿石成品矿</w:t>
      </w:r>
      <w:r>
        <w:rPr>
          <w:rFonts w:hint="eastAsia" w:ascii="Times New Roman" w:hAnsi="Times New Roman" w:eastAsia="仿宋_GB2312" w:cs="仿宋_GB2312"/>
          <w:b/>
          <w:bCs/>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小麦粉、饲料、乳制品、饮料酒和化学药品原药分别同比增长28.5%、11.3%、6.7%、140.4%、18.3%和11.5%；</w:t>
      </w:r>
      <w:r>
        <w:rPr>
          <w:rFonts w:hint="eastAsia" w:ascii="Times New Roman" w:hAnsi="Times New Roman" w:eastAsia="仿宋_GB2312" w:cs="仿宋_GB2312"/>
          <w:b/>
          <w:bCs/>
          <w:color w:val="auto"/>
          <w:kern w:val="0"/>
          <w:sz w:val="32"/>
          <w:szCs w:val="32"/>
          <w:lang w:val="en-US" w:eastAsia="zh-CN"/>
        </w:rPr>
        <w:t>“八降”：</w:t>
      </w:r>
      <w:r>
        <w:rPr>
          <w:rFonts w:hint="eastAsia" w:ascii="Times New Roman" w:hAnsi="Times New Roman" w:eastAsia="仿宋_GB2312" w:cs="仿宋_GB2312"/>
          <w:color w:val="auto"/>
          <w:kern w:val="0"/>
          <w:sz w:val="32"/>
          <w:szCs w:val="32"/>
          <w:lang w:val="en-US" w:eastAsia="zh-CN"/>
        </w:rPr>
        <w:t>成品糖、鲜冷藏肉、速冻食品、单晶硅、水泥、商品混凝土、钢材、自来水生产量分别</w:t>
      </w:r>
      <w:r>
        <w:rPr>
          <w:rFonts w:hint="eastAsia" w:ascii="Times New Roman" w:hAnsi="Times New Roman" w:eastAsia="仿宋_GB2312" w:cs="仿宋_GB2312"/>
          <w:b/>
          <w:bCs/>
          <w:color w:val="auto"/>
          <w:kern w:val="0"/>
          <w:sz w:val="32"/>
          <w:szCs w:val="32"/>
          <w:lang w:val="en-US" w:eastAsia="zh-CN"/>
        </w:rPr>
        <w:t>下降</w:t>
      </w:r>
      <w:r>
        <w:rPr>
          <w:rFonts w:hint="eastAsia" w:ascii="Times New Roman" w:hAnsi="Times New Roman" w:eastAsia="仿宋_GB2312" w:cs="仿宋_GB2312"/>
          <w:color w:val="auto"/>
          <w:kern w:val="0"/>
          <w:sz w:val="32"/>
          <w:szCs w:val="32"/>
          <w:lang w:val="en-US" w:eastAsia="zh-CN"/>
        </w:rPr>
        <w:t>13.2%、100%、56.9%、5.3%、71.3%、9.6%、22.3%和6.7%</w:t>
      </w:r>
      <w:r>
        <w:rPr>
          <w:rFonts w:hint="eastAsia" w:ascii="Times New Roman" w:hAnsi="Times New Roman" w:eastAsia="仿宋_GB2312" w:cs="仿宋_GB2312"/>
          <w:b/>
          <w:bCs/>
          <w:color w:val="auto"/>
          <w:kern w:val="0"/>
          <w:sz w:val="32"/>
          <w:szCs w:val="32"/>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黑体" w:cs="黑体"/>
          <w:b w:val="0"/>
          <w:bCs w:val="0"/>
          <w:sz w:val="32"/>
          <w:szCs w:val="32"/>
          <w:lang w:val="en-US" w:eastAsia="zh-CN"/>
        </w:rPr>
        <w:t>2.固定资产投资稳定增长。</w:t>
      </w:r>
      <w:r>
        <w:rPr>
          <w:rFonts w:hint="eastAsia" w:ascii="Times New Roman" w:hAnsi="Times New Roman" w:eastAsia="仿宋" w:cs="仿宋"/>
          <w:b w:val="0"/>
          <w:bCs w:val="0"/>
          <w:sz w:val="32"/>
          <w:szCs w:val="32"/>
          <w:lang w:val="en-US" w:eastAsia="zh-CN"/>
        </w:rPr>
        <w:t>1</w:t>
      </w:r>
      <w:r>
        <w:rPr>
          <w:rFonts w:hint="eastAsia" w:ascii="Times New Roman" w:hAnsi="Times New Roman" w:eastAsia="仿宋_GB2312" w:cs="仿宋_GB2312"/>
          <w:color w:val="auto"/>
          <w:kern w:val="0"/>
          <w:sz w:val="32"/>
          <w:szCs w:val="32"/>
          <w:lang w:val="en-US" w:eastAsia="zh-CN"/>
        </w:rPr>
        <w:t>-8月，全县固定资产投资（不含农户）完成41.65亿元，同比增长10.84%，增幅比1-7月（5.14%）提高5.7个百分点，较上年同期（3.11%）提高7.73个百分点。其中:项目投资增长4.45%，拉动投资3.75个百分点；房地产开发投资增长44.67%，拉动投资7.09个百分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三次产业呈现“两提升一回落”态势。</w:t>
      </w:r>
      <w:r>
        <w:rPr>
          <w:rFonts w:hint="eastAsia" w:ascii="仿宋_GB2312" w:hAnsi="仿宋_GB2312" w:eastAsia="仿宋_GB2312" w:cs="仿宋_GB2312"/>
          <w:color w:val="000000"/>
          <w:kern w:val="0"/>
          <w:sz w:val="32"/>
          <w:szCs w:val="32"/>
          <w:lang w:val="en-US" w:eastAsia="zh-CN" w:bidi="ar-SA"/>
        </w:rPr>
        <w:t>第一、第三产业投资、占比进一步提升，拉动作用明显。</w:t>
      </w:r>
      <w:r>
        <w:rPr>
          <w:rFonts w:hint="eastAsia" w:ascii="仿宋_GB2312" w:hAnsi="仿宋_GB2312" w:eastAsia="仿宋_GB2312" w:cs="仿宋_GB2312"/>
          <w:b/>
          <w:bCs/>
          <w:color w:val="000000"/>
          <w:kern w:val="0"/>
          <w:sz w:val="32"/>
          <w:szCs w:val="32"/>
          <w:lang w:val="en-US" w:eastAsia="zh-CN" w:bidi="ar-SA"/>
        </w:rPr>
        <w:t>第一产业</w:t>
      </w:r>
      <w:r>
        <w:rPr>
          <w:rFonts w:hint="eastAsia" w:ascii="仿宋_GB2312" w:hAnsi="仿宋_GB2312" w:eastAsia="仿宋_GB2312" w:cs="仿宋_GB2312"/>
          <w:color w:val="000000"/>
          <w:kern w:val="0"/>
          <w:sz w:val="32"/>
          <w:szCs w:val="32"/>
          <w:lang w:val="en-US" w:eastAsia="zh-CN" w:bidi="ar-SA"/>
        </w:rPr>
        <w:t>完成投资49091万元，同比增长163.87%，拉动固定资产8.11个百分点；</w:t>
      </w:r>
      <w:r>
        <w:rPr>
          <w:rFonts w:hint="eastAsia" w:ascii="仿宋_GB2312" w:hAnsi="仿宋_GB2312" w:eastAsia="仿宋_GB2312" w:cs="仿宋_GB2312"/>
          <w:b/>
          <w:bCs/>
          <w:color w:val="000000"/>
          <w:kern w:val="0"/>
          <w:sz w:val="32"/>
          <w:szCs w:val="32"/>
          <w:lang w:val="en-US" w:eastAsia="zh-CN" w:bidi="ar-SA"/>
        </w:rPr>
        <w:t>第二产业</w:t>
      </w:r>
      <w:r>
        <w:rPr>
          <w:rFonts w:hint="eastAsia" w:ascii="仿宋_GB2312" w:hAnsi="仿宋_GB2312" w:eastAsia="仿宋_GB2312" w:cs="仿宋_GB2312"/>
          <w:color w:val="000000"/>
          <w:kern w:val="0"/>
          <w:sz w:val="32"/>
          <w:szCs w:val="32"/>
          <w:lang w:val="en-US" w:eastAsia="zh-CN" w:bidi="ar-SA"/>
        </w:rPr>
        <w:t>完成投资55250万元，同比下降59%，下拉固定资产投资21.16个百分点；</w:t>
      </w:r>
      <w:r>
        <w:rPr>
          <w:rFonts w:hint="eastAsia" w:ascii="仿宋_GB2312" w:hAnsi="仿宋_GB2312" w:eastAsia="仿宋_GB2312" w:cs="仿宋_GB2312"/>
          <w:b/>
          <w:bCs/>
          <w:color w:val="000000"/>
          <w:kern w:val="0"/>
          <w:sz w:val="32"/>
          <w:szCs w:val="32"/>
          <w:lang w:val="en-US" w:eastAsia="zh-CN" w:bidi="ar-SA"/>
        </w:rPr>
        <w:t>第三产业</w:t>
      </w:r>
      <w:r>
        <w:rPr>
          <w:rFonts w:hint="eastAsia" w:ascii="仿宋_GB2312" w:hAnsi="仿宋_GB2312" w:eastAsia="仿宋_GB2312" w:cs="仿宋_GB2312"/>
          <w:color w:val="000000"/>
          <w:kern w:val="0"/>
          <w:sz w:val="32"/>
          <w:szCs w:val="32"/>
          <w:lang w:val="en-US" w:eastAsia="zh-CN" w:bidi="ar-SA"/>
        </w:rPr>
        <w:t>完成投资 312173万元，同比增长40.34%，拉动固定资产增长23.88个百分点。</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rPr>
          <w:rFonts w:hint="default" w:ascii="仿宋" w:hAnsi="仿宋" w:eastAsia="仿宋" w:cs="仿宋"/>
          <w:b w:val="0"/>
          <w:bCs w:val="0"/>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15个投资行业“9增6降”。</w:t>
      </w:r>
      <w:r>
        <w:rPr>
          <w:rFonts w:hint="eastAsia" w:ascii="仿宋" w:hAnsi="仿宋" w:eastAsia="仿宋" w:cs="仿宋"/>
          <w:b w:val="0"/>
          <w:bCs w:val="0"/>
          <w:color w:val="000000"/>
          <w:kern w:val="0"/>
          <w:sz w:val="32"/>
          <w:szCs w:val="32"/>
          <w:lang w:val="en-US" w:eastAsia="zh-CN" w:bidi="ar"/>
        </w:rPr>
        <w:t>分行业看，15个行业投资中，9个行业投资实现增长。其中：</w:t>
      </w:r>
      <w:r>
        <w:rPr>
          <w:rFonts w:hint="eastAsia" w:ascii="仿宋_GB2312" w:hAnsi="仿宋_GB2312" w:eastAsia="仿宋_GB2312" w:cs="仿宋_GB2312"/>
          <w:color w:val="000000"/>
          <w:kern w:val="0"/>
          <w:sz w:val="32"/>
          <w:szCs w:val="32"/>
          <w:lang w:val="en-US" w:eastAsia="zh-CN" w:bidi="ar-SA"/>
        </w:rPr>
        <w:t>交通运输仓储和邮政业、</w:t>
      </w:r>
      <w:r>
        <w:rPr>
          <w:rFonts w:hint="eastAsia" w:ascii="仿宋" w:hAnsi="仿宋" w:eastAsia="仿宋" w:cs="仿宋"/>
          <w:b w:val="0"/>
          <w:bCs w:val="0"/>
          <w:color w:val="000000"/>
          <w:kern w:val="0"/>
          <w:sz w:val="32"/>
          <w:szCs w:val="32"/>
          <w:lang w:val="en-US" w:eastAsia="zh-CN" w:bidi="ar"/>
        </w:rPr>
        <w:t>农林牧渔业、</w:t>
      </w:r>
      <w:r>
        <w:rPr>
          <w:rFonts w:hint="eastAsia" w:ascii="仿宋_GB2312" w:hAnsi="仿宋_GB2312" w:eastAsia="仿宋_GB2312" w:cs="仿宋_GB2312"/>
          <w:color w:val="000000"/>
          <w:kern w:val="0"/>
          <w:sz w:val="32"/>
          <w:szCs w:val="32"/>
          <w:lang w:val="en-US" w:eastAsia="zh-CN" w:bidi="ar-SA"/>
        </w:rPr>
        <w:t>水利环境和公共设施管理业、</w:t>
      </w:r>
      <w:r>
        <w:rPr>
          <w:rFonts w:hint="eastAsia" w:ascii="仿宋" w:hAnsi="仿宋" w:eastAsia="仿宋" w:cs="仿宋"/>
          <w:b w:val="0"/>
          <w:bCs w:val="0"/>
          <w:color w:val="000000"/>
          <w:kern w:val="0"/>
          <w:sz w:val="32"/>
          <w:szCs w:val="32"/>
          <w:lang w:val="en-US" w:eastAsia="zh-CN" w:bidi="ar"/>
        </w:rPr>
        <w:t>居民服务修理和其它服务业、住宿和餐饮业、文化体育和娱乐业、房地产业、批发和零售业、教育等9个行业累计完成335829万元，同比增长88.06%、投资占比80.63%，拉动全部投资增长41.85个百分点。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rightChars="0" w:firstLine="643"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
        </w:rPr>
        <w:t>建筑安装工程投资高位运行、拉动作用显著。</w:t>
      </w:r>
      <w:r>
        <w:rPr>
          <w:rFonts w:hint="eastAsia" w:ascii="仿宋_GB2312" w:hAnsi="仿宋_GB2312" w:eastAsia="仿宋_GB2312" w:cs="仿宋_GB2312"/>
          <w:color w:val="000000"/>
          <w:kern w:val="0"/>
          <w:sz w:val="32"/>
          <w:szCs w:val="32"/>
          <w:lang w:val="en-US" w:eastAsia="zh-CN" w:bidi="ar"/>
        </w:rPr>
        <w:t>从构成看：</w:t>
      </w:r>
      <w:r>
        <w:rPr>
          <w:rFonts w:hint="default" w:ascii="仿宋_GB2312" w:hAnsi="仿宋_GB2312" w:eastAsia="仿宋_GB2312" w:cs="仿宋_GB2312"/>
          <w:color w:val="000000"/>
          <w:kern w:val="0"/>
          <w:sz w:val="32"/>
          <w:szCs w:val="32"/>
          <w:lang w:val="en-US" w:eastAsia="zh-CN" w:bidi="ar"/>
        </w:rPr>
        <w:t>1</w:t>
      </w:r>
      <w:r>
        <w:rPr>
          <w:rFonts w:hint="eastAsia" w:ascii="仿宋_GB2312" w:hAnsi="仿宋_GB2312" w:eastAsia="仿宋_GB2312" w:cs="仿宋_GB2312"/>
          <w:color w:val="000000"/>
          <w:kern w:val="0"/>
          <w:sz w:val="32"/>
          <w:szCs w:val="32"/>
          <w:lang w:val="en-US" w:eastAsia="zh-CN" w:bidi="ar"/>
        </w:rPr>
        <w:t>—8月份，建安投资、设备购置、其他费用增速分别增长19.45</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、-65.51%、25.81%，分别拉动全部投资15.96、-7、1.88个百分点，贡献率分别为147.23</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、-64.57%、17.34%。</w:t>
      </w:r>
      <w:r>
        <w:rPr>
          <w:rFonts w:hint="eastAsia" w:ascii="仿宋_GB2312" w:hAnsi="仿宋_GB2312" w:eastAsia="仿宋_GB2312" w:cs="仿宋_GB2312"/>
          <w:color w:val="000000"/>
          <w:kern w:val="0"/>
          <w:sz w:val="32"/>
          <w:szCs w:val="32"/>
          <w:lang w:val="en-US" w:eastAsia="zh-CN" w:bidi="ar-SA"/>
        </w:rPr>
        <w:t>建筑安装工程投资作为核算建筑业增加值的重要组成部分，对GDP核算中建筑业增加值的贡献明显。</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rightChars="0" w:firstLine="643" w:firstLineChars="200"/>
        <w:jc w:val="left"/>
        <w:rPr>
          <w:rFonts w:hint="eastAsia" w:ascii="仿宋_GB2312" w:hAnsi="仿宋_GB2312" w:eastAsia="仿宋_GB2312" w:cs="仿宋_GB2312"/>
          <w:b w:val="0"/>
          <w:bCs w:val="0"/>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新建项目持续发力、对投资贡献凸显。</w:t>
      </w:r>
      <w:r>
        <w:rPr>
          <w:rFonts w:hint="eastAsia" w:ascii="仿宋_GB2312" w:hAnsi="仿宋_GB2312" w:eastAsia="仿宋_GB2312" w:cs="仿宋_GB2312"/>
          <w:b w:val="0"/>
          <w:color w:val="000000"/>
          <w:kern w:val="0"/>
          <w:sz w:val="32"/>
          <w:szCs w:val="32"/>
          <w:lang w:val="en-US" w:eastAsia="zh-CN" w:bidi="ar-SA"/>
        </w:rPr>
        <w:t>1-8月全县在库项目182个（不含房地产），其中</w:t>
      </w:r>
      <w:r>
        <w:rPr>
          <w:rFonts w:hint="eastAsia" w:ascii="仿宋_GB2312" w:hAnsi="仿宋_GB2312" w:eastAsia="仿宋_GB2312" w:cs="仿宋_GB2312"/>
          <w:b w:val="0"/>
          <w:bCs w:val="0"/>
          <w:color w:val="000000"/>
          <w:kern w:val="0"/>
          <w:sz w:val="32"/>
          <w:szCs w:val="32"/>
          <w:lang w:val="en-US" w:eastAsia="zh-CN" w:bidi="ar-SA"/>
        </w:rPr>
        <w:t>续建项</w:t>
      </w:r>
      <w:r>
        <w:rPr>
          <w:rFonts w:hint="eastAsia" w:ascii="仿宋_GB2312" w:hAnsi="仿宋_GB2312" w:eastAsia="仿宋_GB2312" w:cs="仿宋_GB2312"/>
          <w:b w:val="0"/>
          <w:color w:val="000000"/>
          <w:kern w:val="0"/>
          <w:sz w:val="32"/>
          <w:szCs w:val="32"/>
          <w:lang w:val="en-US" w:eastAsia="zh-CN" w:bidi="ar-SA"/>
        </w:rPr>
        <w:t>目104个，新开工项目78个。</w:t>
      </w:r>
      <w:r>
        <w:rPr>
          <w:rFonts w:hint="eastAsia" w:ascii="仿宋_GB2312" w:hAnsi="仿宋_GB2312" w:eastAsia="仿宋_GB2312" w:cs="仿宋_GB2312"/>
          <w:b/>
          <w:bCs/>
          <w:color w:val="000000"/>
          <w:kern w:val="0"/>
          <w:sz w:val="32"/>
          <w:szCs w:val="32"/>
          <w:lang w:val="en-US" w:eastAsia="zh-CN" w:bidi="ar-SA"/>
        </w:rPr>
        <w:t>新建项目</w:t>
      </w:r>
      <w:r>
        <w:rPr>
          <w:rFonts w:hint="eastAsia" w:ascii="仿宋_GB2312" w:hAnsi="仿宋_GB2312" w:eastAsia="仿宋_GB2312" w:cs="仿宋_GB2312"/>
          <w:b w:val="0"/>
          <w:color w:val="000000"/>
          <w:kern w:val="0"/>
          <w:sz w:val="32"/>
          <w:szCs w:val="32"/>
          <w:lang w:val="en-US" w:eastAsia="zh-CN" w:bidi="ar-SA"/>
        </w:rPr>
        <w:t>投资完成投资218661万元，同比增长38.91%，占全县固定资产投资的比重52.5%</w:t>
      </w:r>
      <w:r>
        <w:rPr>
          <w:rFonts w:hint="eastAsia" w:ascii="微软雅黑" w:hAnsi="微软雅黑" w:eastAsia="微软雅黑" w:cs="微软雅黑"/>
          <w:color w:val="333333"/>
          <w:kern w:val="0"/>
          <w:sz w:val="20"/>
          <w:szCs w:val="20"/>
          <w:shd w:val="clear" w:color="auto" w:fill="FFFFFF"/>
          <w:lang w:val="en-US" w:eastAsia="zh-CN" w:bidi="ar"/>
        </w:rPr>
        <w:t> ，</w:t>
      </w:r>
      <w:r>
        <w:rPr>
          <w:rFonts w:hint="eastAsia" w:ascii="仿宋_GB2312" w:hAnsi="仿宋_GB2312" w:eastAsia="仿宋_GB2312" w:cs="仿宋_GB2312"/>
          <w:b w:val="0"/>
          <w:bCs w:val="0"/>
          <w:color w:val="000000"/>
          <w:kern w:val="0"/>
          <w:sz w:val="32"/>
          <w:szCs w:val="32"/>
          <w:lang w:val="en-US" w:eastAsia="zh-CN" w:bidi="ar"/>
        </w:rPr>
        <w:t>拉动固定资产投资16.30个百分点,贡献率为150.37%。</w:t>
      </w:r>
      <w:r>
        <w:rPr>
          <w:rFonts w:hint="eastAsia" w:ascii="仿宋_GB2312" w:hAnsi="仿宋_GB2312" w:eastAsia="仿宋_GB2312" w:cs="仿宋_GB2312"/>
          <w:b/>
          <w:bCs/>
          <w:color w:val="000000"/>
          <w:kern w:val="0"/>
          <w:sz w:val="32"/>
          <w:szCs w:val="32"/>
          <w:lang w:val="en-US" w:eastAsia="zh-CN" w:bidi="ar"/>
        </w:rPr>
        <w:t> 续建项目</w:t>
      </w:r>
      <w:r>
        <w:rPr>
          <w:rFonts w:hint="eastAsia" w:ascii="仿宋_GB2312" w:hAnsi="仿宋_GB2312" w:eastAsia="仿宋_GB2312" w:cs="仿宋_GB2312"/>
          <w:b w:val="0"/>
          <w:bCs w:val="0"/>
          <w:color w:val="000000"/>
          <w:kern w:val="0"/>
          <w:sz w:val="32"/>
          <w:szCs w:val="32"/>
          <w:lang w:val="en-US" w:eastAsia="zh-CN" w:bidi="ar"/>
        </w:rPr>
        <w:t>完成投资197853万元，同比下降9.40%，占固定资产投资的比重为47.5%，下拉动固定资产投资5.46个百分点，贡献率为-50.37%。</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Chars="0" w:right="0" w:rightChars="0" w:firstLine="643" w:firstLineChars="200"/>
        <w:jc w:val="left"/>
        <w:rPr>
          <w:rFonts w:hint="eastAsia" w:ascii="仿宋_GB2312" w:hAnsi="仿宋_GB2312" w:eastAsia="仿宋_GB2312" w:cs="仿宋_GB2312"/>
          <w:b w:val="0"/>
          <w:bCs w:val="0"/>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基础设施投资较快增长，交通运输、水利业投资贡献作用凸显。</w:t>
      </w:r>
      <w:r>
        <w:rPr>
          <w:rFonts w:hint="eastAsia" w:ascii="仿宋_GB2312" w:hAnsi="仿宋_GB2312" w:eastAsia="仿宋_GB2312" w:cs="仿宋_GB2312"/>
          <w:b w:val="0"/>
          <w:bCs w:val="0"/>
          <w:color w:val="000000"/>
          <w:kern w:val="0"/>
          <w:sz w:val="32"/>
          <w:szCs w:val="32"/>
          <w:lang w:val="en-US" w:eastAsia="zh-CN" w:bidi="ar"/>
        </w:rPr>
        <w:t>为改善民生、优化营商环境，基础设施投入力度持续加大，成为县投资增长的重要支撑力量。1-8月，全县基础设施完成投资156710万元，同比增长46.01%，高于全部投资增速35.17个百分点，拉动全部投资增速13.14个百分点。其中： 水利、环境和公共设施管理业完成投资60221万元，同比增长105.67%，对基础设施投资的贡献率为62.65%；交通运输仓储和邮政业完成投资79895万元，同比增长476.29%，对基础设施投资的贡献率为67.78%。</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仿宋" w:hAnsi="仿宋" w:eastAsia="仿宋" w:cs="仿宋"/>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文化和旅游赋能产业投资、住宿和餐饮业投资大幅增长。</w:t>
      </w:r>
      <w:r>
        <w:rPr>
          <w:rFonts w:hint="eastAsia" w:eastAsia="仿宋_GB2312" w:cs="Times New Roman"/>
          <w:color w:val="auto"/>
          <w:sz w:val="32"/>
          <w:szCs w:val="32"/>
          <w:lang w:val="en-US" w:eastAsia="zh-CN"/>
        </w:rPr>
        <w:t>近年来，那拉提景区的旅游投资建设也持续“升温”，民宿、房车营地、高等级酒店加快建设。其中，</w:t>
      </w:r>
      <w:r>
        <w:rPr>
          <w:rFonts w:hint="eastAsia" w:eastAsia="仿宋_GB2312" w:cs="Times New Roman"/>
          <w:b/>
          <w:color w:val="auto"/>
          <w:sz w:val="32"/>
          <w:szCs w:val="32"/>
          <w:lang w:val="en-US" w:eastAsia="zh-CN"/>
        </w:rPr>
        <w:t>那拉提华美胜地英迪格酒店集群项目、哈茵赛村旅游度假提升改造工程、</w:t>
      </w:r>
      <w:r>
        <w:rPr>
          <w:rFonts w:hint="eastAsia" w:ascii="仿宋" w:hAnsi="仿宋" w:eastAsia="仿宋" w:cs="仿宋"/>
          <w:b/>
          <w:sz w:val="32"/>
          <w:szCs w:val="32"/>
          <w:lang w:val="en-US" w:eastAsia="zh-CN"/>
        </w:rPr>
        <w:t>那拉提特色小镇旅游综合度假区建设项目</w:t>
      </w:r>
      <w:r>
        <w:rPr>
          <w:rFonts w:hint="eastAsia" w:eastAsia="仿宋_GB2312" w:cs="Times New Roman"/>
          <w:color w:val="auto"/>
          <w:sz w:val="32"/>
          <w:szCs w:val="32"/>
          <w:lang w:val="en-US" w:eastAsia="zh-CN"/>
        </w:rPr>
        <w:t>有</w:t>
      </w:r>
      <w:r>
        <w:rPr>
          <w:rFonts w:hint="eastAsia" w:ascii="仿宋" w:hAnsi="仿宋" w:eastAsia="仿宋" w:cs="仿宋"/>
          <w:b w:val="0"/>
          <w:bCs w:val="0"/>
          <w:color w:val="000000"/>
          <w:kern w:val="0"/>
          <w:sz w:val="32"/>
          <w:szCs w:val="32"/>
          <w:lang w:val="en-US" w:eastAsia="zh-CN" w:bidi="ar"/>
        </w:rPr>
        <w:t>效的拉动了住宿餐饮业投资快速增长。1-8月，全县住宿和餐饮业完成投资79895万元，同比增长72.10%，拉动全部固定资产投资增长8.91个百分点，贡献率为82.18个百分点。</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eastAsia="仿宋_GB2312" w:cs="Times New Roman"/>
          <w:color w:val="auto"/>
          <w:sz w:val="32"/>
          <w:szCs w:val="32"/>
          <w:lang w:val="en-US" w:eastAsia="zh-CN"/>
        </w:rPr>
      </w:pPr>
      <w:r>
        <w:rPr>
          <w:rFonts w:hint="eastAsia" w:ascii="仿宋_GB2312" w:hAnsi="仿宋_GB2312" w:eastAsia="仿宋_GB2312" w:cs="仿宋_GB2312"/>
          <w:b/>
          <w:bCs/>
          <w:color w:val="000000"/>
          <w:kern w:val="0"/>
          <w:sz w:val="32"/>
          <w:szCs w:val="32"/>
          <w:lang w:val="en-US" w:eastAsia="zh-CN" w:bidi="ar"/>
        </w:rPr>
        <w:t>乡村振兴有效带动农林牧渔业投资项目大幅增长。</w:t>
      </w:r>
      <w:r>
        <w:rPr>
          <w:rFonts w:hint="eastAsia" w:eastAsia="仿宋_GB2312" w:cs="Times New Roman"/>
          <w:color w:val="auto"/>
          <w:sz w:val="32"/>
          <w:szCs w:val="32"/>
          <w:lang w:val="en-US" w:eastAsia="zh-CN"/>
        </w:rPr>
        <w:t>今年以来，为全面推进乡村振兴、加快农业农村现代化建设，发挥好“三农”压舱石作用，特色农业产业项目持续推进。</w:t>
      </w:r>
      <w:r>
        <w:rPr>
          <w:rFonts w:hint="eastAsia" w:ascii="仿宋" w:hAnsi="仿宋" w:eastAsia="仿宋" w:cs="仿宋"/>
          <w:b w:val="0"/>
          <w:bCs w:val="0"/>
          <w:color w:val="000000"/>
          <w:kern w:val="0"/>
          <w:sz w:val="32"/>
          <w:szCs w:val="32"/>
          <w:lang w:val="en-US" w:eastAsia="zh-CN" w:bidi="ar"/>
        </w:rPr>
        <w:t>1-8月，全县农林牧渔业完成投资49091万元，同比增长163.87</w:t>
      </w:r>
      <w:r>
        <w:rPr>
          <w:rFonts w:hint="default" w:ascii="仿宋" w:hAnsi="仿宋" w:eastAsia="仿宋" w:cs="仿宋"/>
          <w:b w:val="0"/>
          <w:bCs w:val="0"/>
          <w:color w:val="000000"/>
          <w:kern w:val="0"/>
          <w:sz w:val="32"/>
          <w:szCs w:val="32"/>
          <w:lang w:val="en-US" w:eastAsia="zh-CN" w:bidi="ar"/>
        </w:rPr>
        <w:t>%</w:t>
      </w:r>
      <w:r>
        <w:rPr>
          <w:rFonts w:hint="eastAsia" w:ascii="仿宋" w:hAnsi="仿宋" w:eastAsia="仿宋" w:cs="仿宋"/>
          <w:b w:val="0"/>
          <w:bCs w:val="0"/>
          <w:color w:val="000000"/>
          <w:kern w:val="0"/>
          <w:sz w:val="32"/>
          <w:szCs w:val="32"/>
          <w:lang w:val="en-US" w:eastAsia="zh-CN" w:bidi="ar"/>
        </w:rPr>
        <w:t>，拉动投资增</w:t>
      </w:r>
      <w:r>
        <w:rPr>
          <w:rFonts w:hint="eastAsia" w:eastAsia="仿宋_GB2312" w:cs="Times New Roman"/>
          <w:color w:val="auto"/>
          <w:sz w:val="32"/>
          <w:szCs w:val="32"/>
          <w:lang w:val="en-US" w:eastAsia="zh-CN"/>
        </w:rPr>
        <w:t>长8.11个百分点，贡献率为74.86%。</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仿宋"/>
          <w:b w:val="0"/>
          <w:bCs w:val="0"/>
          <w:sz w:val="32"/>
          <w:szCs w:val="32"/>
          <w:lang w:val="en-US" w:eastAsia="zh-CN"/>
        </w:rPr>
      </w:pPr>
      <w:r>
        <w:rPr>
          <w:rFonts w:hint="eastAsia" w:ascii="仿宋_GB2312" w:hAnsi="仿宋_GB2312" w:eastAsia="仿宋_GB2312" w:cs="仿宋_GB2312"/>
          <w:b/>
          <w:bCs/>
          <w:color w:val="000000"/>
          <w:kern w:val="0"/>
          <w:sz w:val="32"/>
          <w:szCs w:val="32"/>
          <w:lang w:val="en-US" w:eastAsia="zh-CN" w:bidi="ar"/>
        </w:rPr>
        <w:t>3.旅游拉动其他营利性服务服务业快速回升。</w:t>
      </w:r>
      <w:r>
        <w:rPr>
          <w:rFonts w:hint="eastAsia" w:ascii="Times New Roman" w:hAnsi="Times New Roman" w:eastAsia="仿宋" w:cs="仿宋"/>
          <w:b w:val="0"/>
          <w:bCs w:val="0"/>
          <w:sz w:val="32"/>
          <w:szCs w:val="32"/>
          <w:lang w:val="en-US" w:eastAsia="zh-CN"/>
        </w:rPr>
        <w:t>1-8月，其他营利性服务业实现营业收入1.92亿元，同比增长25.84%，增速较1-7月回升21.24个百分点。增幅较大的新源县那拉提旅游投资经营有限责任公司和新疆那拉提旅游度假区发展有限公司和新源县万农合创生态农业技术开发有限公司，营业收入分别增长49.19%、82.91%和28.96%。</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800" w:firstLineChars="250"/>
        <w:jc w:val="left"/>
        <w:textAlignment w:val="auto"/>
        <w:rPr>
          <w:rFonts w:hint="eastAsia" w:ascii="Times New Roman" w:hAnsi="Times New Roman" w:eastAsia="仿宋" w:cs="仿宋"/>
          <w:b w:val="0"/>
          <w:bCs w:val="0"/>
          <w:kern w:val="2"/>
          <w:sz w:val="32"/>
          <w:szCs w:val="32"/>
          <w:lang w:val="en-US" w:eastAsia="zh-CN" w:bidi="ar-SA"/>
        </w:rPr>
      </w:pPr>
      <w:r>
        <w:rPr>
          <w:rFonts w:hint="eastAsia" w:ascii="Times New Roman" w:hAnsi="Times New Roman" w:eastAsia="黑体" w:cs="黑体"/>
          <w:b w:val="0"/>
          <w:bCs w:val="0"/>
          <w:kern w:val="2"/>
          <w:sz w:val="32"/>
          <w:szCs w:val="32"/>
          <w:lang w:val="en-US" w:eastAsia="zh-CN" w:bidi="ar-SA"/>
        </w:rPr>
        <w:t>4.消费市场稳定</w:t>
      </w:r>
      <w:r>
        <w:rPr>
          <w:rFonts w:hint="eastAsia" w:ascii="Times New Roman" w:hAnsi="Times New Roman" w:eastAsia="仿宋" w:cs="仿宋"/>
          <w:b w:val="0"/>
          <w:bCs w:val="0"/>
          <w:kern w:val="2"/>
          <w:sz w:val="32"/>
          <w:szCs w:val="32"/>
          <w:lang w:val="en-US" w:eastAsia="zh-CN" w:bidi="ar-SA"/>
        </w:rPr>
        <w:t>。1-8月，完成限上社会消费品零售总额3.72亿元，同比增长2.2%，其中：企业完成零售额2.72亿元，同比增长4.5%，大个体完成零售额1.55亿元，同比下降37.4%。</w:t>
      </w:r>
    </w:p>
    <w:p>
      <w:pPr>
        <w:pStyle w:val="9"/>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 w:cs="仿宋"/>
          <w:b w:val="0"/>
          <w:bCs w:val="0"/>
          <w:kern w:val="2"/>
          <w:sz w:val="32"/>
          <w:szCs w:val="32"/>
          <w:lang w:val="en-US" w:eastAsia="zh-CN" w:bidi="ar-SA"/>
        </w:rPr>
      </w:pPr>
      <w:r>
        <w:rPr>
          <w:rFonts w:hint="eastAsia" w:ascii="Times New Roman" w:hAnsi="Times New Roman" w:eastAsia="黑体" w:cs="黑体"/>
          <w:b w:val="0"/>
          <w:bCs w:val="0"/>
          <w:kern w:val="2"/>
          <w:sz w:val="32"/>
          <w:szCs w:val="32"/>
          <w:lang w:val="en-US" w:eastAsia="zh-CN" w:bidi="ar-SA"/>
        </w:rPr>
        <w:t>5.财政收入。</w:t>
      </w:r>
      <w:r>
        <w:rPr>
          <w:rFonts w:hint="eastAsia" w:ascii="Times New Roman" w:hAnsi="Times New Roman" w:eastAsia="仿宋" w:cs="仿宋"/>
          <w:b w:val="0"/>
          <w:bCs w:val="0"/>
          <w:kern w:val="2"/>
          <w:sz w:val="32"/>
          <w:szCs w:val="32"/>
          <w:lang w:val="en-US" w:eastAsia="zh-CN" w:bidi="ar-SA"/>
        </w:rPr>
        <w:t>1-8月，一般公共财政预算收入完成5.81亿元，同比增长6.2%。</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kern w:val="0"/>
          <w:sz w:val="32"/>
          <w:szCs w:val="32"/>
          <w:shd w:val="clear" w:fill="FFFFFF"/>
          <w:lang w:val="en-US" w:eastAsia="zh-CN" w:bidi="ar-SA"/>
        </w:rPr>
        <w:t>二、</w:t>
      </w:r>
      <w:r>
        <w:rPr>
          <w:rFonts w:hint="eastAsia" w:ascii="黑体" w:hAnsi="黑体" w:eastAsia="黑体" w:cs="黑体"/>
          <w:i w:val="0"/>
          <w:iCs w:val="0"/>
          <w:caps w:val="0"/>
          <w:color w:val="333333"/>
          <w:spacing w:val="0"/>
          <w:sz w:val="32"/>
          <w:szCs w:val="32"/>
          <w:shd w:val="clear" w:fill="FFFFFF"/>
          <w:lang w:val="en-US" w:eastAsia="zh-CN"/>
        </w:rPr>
        <w:t>存在的问题</w:t>
      </w:r>
    </w:p>
    <w:p>
      <w:pPr>
        <w:keepNext w:val="0"/>
        <w:keepLines w:val="0"/>
        <w:pageBreakBefore w:val="0"/>
        <w:tabs>
          <w:tab w:val="center" w:pos="4422"/>
        </w:tabs>
        <w:kinsoku/>
        <w:wordWrap/>
        <w:overflowPunct/>
        <w:topLinePunct w:val="0"/>
        <w:autoSpaceDE/>
        <w:autoSpaceDN/>
        <w:bidi w:val="0"/>
        <w:adjustRightInd/>
        <w:snapToGrid/>
        <w:spacing w:line="360" w:lineRule="auto"/>
        <w:ind w:leftChars="0" w:firstLine="640" w:firstLineChars="200"/>
        <w:jc w:val="both"/>
        <w:textAlignment w:val="auto"/>
        <w:outlineLvl w:val="9"/>
        <w:rPr>
          <w:rFonts w:hint="default"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从以上主要经济指标来看，总体运行稳定，个别指标呈下行的态势，主要存在以下问题：</w:t>
      </w:r>
    </w:p>
    <w:p>
      <w:pPr>
        <w:keepNext w:val="0"/>
        <w:keepLines w:val="0"/>
        <w:pageBreakBefore w:val="0"/>
        <w:tabs>
          <w:tab w:val="center" w:pos="4422"/>
        </w:tabs>
        <w:kinsoku/>
        <w:wordWrap/>
        <w:overflowPunct/>
        <w:topLinePunct w:val="0"/>
        <w:autoSpaceDE/>
        <w:autoSpaceDN/>
        <w:bidi w:val="0"/>
        <w:adjustRightInd/>
        <w:snapToGrid/>
        <w:spacing w:line="360" w:lineRule="auto"/>
        <w:ind w:leftChars="0" w:firstLine="640" w:firstLineChars="200"/>
        <w:jc w:val="both"/>
        <w:textAlignment w:val="auto"/>
        <w:outlineLvl w:val="9"/>
        <w:rPr>
          <w:rFonts w:hint="eastAsia" w:ascii="仿宋" w:hAnsi="仿宋" w:eastAsia="仿宋" w:cs="仿宋"/>
          <w:b w:val="0"/>
          <w:bCs w:val="0"/>
          <w:color w:val="auto"/>
          <w:kern w:val="0"/>
          <w:sz w:val="32"/>
          <w:szCs w:val="32"/>
          <w:lang w:val="en-US" w:eastAsia="zh-CN"/>
        </w:rPr>
      </w:pPr>
      <w:r>
        <w:rPr>
          <w:rFonts w:hint="eastAsia" w:ascii="楷体_GB2312" w:hAnsi="楷体_GB2312" w:eastAsia="楷体_GB2312" w:cs="楷体_GB2312"/>
          <w:b w:val="0"/>
          <w:bCs w:val="0"/>
          <w:color w:val="auto"/>
          <w:kern w:val="0"/>
          <w:sz w:val="32"/>
          <w:szCs w:val="32"/>
          <w:lang w:val="en-US" w:eastAsia="zh-CN" w:bidi="ar-SA"/>
        </w:rPr>
        <w:t>一是非金属制品和钢铁行业持续下行，下拉作用明显。</w:t>
      </w:r>
      <w:r>
        <w:rPr>
          <w:rFonts w:hint="eastAsia" w:ascii="仿宋" w:hAnsi="仿宋" w:eastAsia="仿宋" w:cs="仿宋"/>
          <w:b w:val="0"/>
          <w:bCs w:val="0"/>
          <w:color w:val="auto"/>
          <w:kern w:val="0"/>
          <w:sz w:val="32"/>
          <w:szCs w:val="32"/>
          <w:lang w:val="en-US" w:eastAsia="zh-CN"/>
        </w:rPr>
        <w:t>规模以上工业企业存在整体偏弱，新增企业均是小微型企业，难以维持长期稳定发展；非金属矿物制品业和黑色金属冶炼和压延加工业占全部规上工业增加值比重达74.88%，是构成我县工业经济的重要组成部分; 规模以上工业企业营业收入同比下降45%，利润总额同比下降70.2%，亏损企业个数同比增长23.5%。</w:t>
      </w:r>
    </w:p>
    <w:p>
      <w:pPr>
        <w:keepNext w:val="0"/>
        <w:keepLines w:val="0"/>
        <w:pageBreakBefore w:val="0"/>
        <w:tabs>
          <w:tab w:val="center" w:pos="4422"/>
        </w:tabs>
        <w:kinsoku/>
        <w:wordWrap/>
        <w:overflowPunct/>
        <w:topLinePunct w:val="0"/>
        <w:autoSpaceDE/>
        <w:autoSpaceDN/>
        <w:bidi w:val="0"/>
        <w:adjustRightInd/>
        <w:snapToGrid/>
        <w:spacing w:line="360" w:lineRule="auto"/>
        <w:ind w:leftChars="0" w:firstLine="640" w:firstLineChars="200"/>
        <w:jc w:val="both"/>
        <w:textAlignment w:val="auto"/>
        <w:outlineLvl w:val="9"/>
        <w:rPr>
          <w:rFonts w:hint="eastAsia" w:ascii="仿宋" w:hAnsi="仿宋" w:eastAsia="仿宋" w:cs="仿宋"/>
          <w:b w:val="0"/>
          <w:bCs w:val="0"/>
          <w:color w:val="auto"/>
          <w:kern w:val="0"/>
          <w:sz w:val="32"/>
          <w:szCs w:val="32"/>
          <w:lang w:val="en-US" w:eastAsia="zh-CN"/>
        </w:rPr>
      </w:pPr>
      <w:r>
        <w:rPr>
          <w:rFonts w:hint="eastAsia" w:ascii="楷体" w:hAnsi="楷体" w:eastAsia="楷体" w:cs="楷体"/>
          <w:b w:val="0"/>
          <w:bCs w:val="0"/>
          <w:color w:val="auto"/>
          <w:kern w:val="0"/>
          <w:sz w:val="32"/>
          <w:szCs w:val="32"/>
          <w:lang w:val="en-US" w:eastAsia="zh-CN"/>
        </w:rPr>
        <w:t>二是工业三大门类投资均呈现出两位数下降。</w:t>
      </w:r>
      <w:r>
        <w:rPr>
          <w:rFonts w:hint="eastAsia" w:ascii="仿宋" w:hAnsi="仿宋" w:eastAsia="仿宋" w:cs="仿宋"/>
          <w:b w:val="0"/>
          <w:bCs w:val="0"/>
          <w:color w:val="auto"/>
          <w:kern w:val="0"/>
          <w:sz w:val="32"/>
          <w:szCs w:val="32"/>
          <w:lang w:val="en-US" w:eastAsia="zh-CN"/>
        </w:rPr>
        <w:t>1-8月，全县工业项目完成投资同比下降59%，低于全部投资增速69.84个百分点，下拉动全部投资21.16个百分点、贡献率为-195.19%、占全部投资比重为13.26%。从三大门类看：采矿业完成投资同比下降58.3%，下拉全部投资12.06个百分点；电力、热力、燃气及水生产和供应业完成投资下降46.67%，下拉全部投资3.86个百分点；制造业完成投资下降75.93%，下拉动全部投资5.23个百分点，其中：24个在库的制造业项目中本年度有投资额的项目仅有9个，行业结构单一、新动能培育不足，新开工项目个数和规模不足，截至目前本年度仅入库工业投资项目2个。制造业是实体经济的重要组成部分，投资下行将会对我县整体经济产生不利影响。</w:t>
      </w:r>
    </w:p>
    <w:p>
      <w:pPr>
        <w:keepNext w:val="0"/>
        <w:keepLines w:val="0"/>
        <w:pageBreakBefore w:val="0"/>
        <w:kinsoku/>
        <w:wordWrap/>
        <w:overflowPunct/>
        <w:topLinePunct w:val="0"/>
        <w:autoSpaceDE/>
        <w:autoSpaceDN/>
        <w:bidi w:val="0"/>
        <w:adjustRightInd/>
        <w:snapToGrid/>
        <w:spacing w:line="360" w:lineRule="auto"/>
        <w:ind w:leftChars="0" w:firstLine="640" w:firstLineChars="200"/>
        <w:jc w:val="both"/>
        <w:textAlignment w:val="auto"/>
        <w:outlineLvl w:val="9"/>
        <w:rPr>
          <w:rFonts w:hint="eastAsia" w:ascii="仿宋" w:hAnsi="仿宋" w:eastAsia="仿宋" w:cs="仿宋"/>
          <w:b w:val="0"/>
          <w:bCs w:val="0"/>
          <w:color w:val="auto"/>
          <w:kern w:val="0"/>
          <w:sz w:val="32"/>
          <w:szCs w:val="32"/>
          <w:lang w:val="en-US" w:eastAsia="zh-CN"/>
        </w:rPr>
      </w:pPr>
      <w:r>
        <w:rPr>
          <w:rFonts w:hint="eastAsia" w:ascii="楷体_GB2312" w:hAnsi="楷体_GB2312" w:eastAsia="楷体_GB2312" w:cs="楷体_GB2312"/>
          <w:b w:val="0"/>
          <w:bCs w:val="0"/>
          <w:color w:val="auto"/>
          <w:kern w:val="0"/>
          <w:sz w:val="32"/>
          <w:szCs w:val="32"/>
          <w:lang w:val="en-US" w:eastAsia="zh-CN" w:bidi="ar-SA"/>
        </w:rPr>
        <w:t>三是消费市场持续增长支撑不足</w:t>
      </w:r>
      <w:r>
        <w:rPr>
          <w:rFonts w:hint="eastAsia" w:ascii="仿宋" w:hAnsi="仿宋" w:eastAsia="仿宋" w:cs="仿宋"/>
          <w:b w:val="0"/>
          <w:bCs w:val="0"/>
          <w:color w:val="auto"/>
          <w:kern w:val="0"/>
          <w:sz w:val="32"/>
          <w:szCs w:val="32"/>
          <w:lang w:val="en-US" w:eastAsia="zh-CN"/>
        </w:rPr>
        <w:t>。限上企业数量少、规模小。在库的限上社零企业仅32家，限上单位零售额仅靠几家企业来维持，难以支撑消费市场持续增长。</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default" w:ascii="黑体" w:hAnsi="黑体" w:eastAsia="黑体" w:cs="黑体"/>
          <w:i w:val="0"/>
          <w:iCs w:val="0"/>
          <w:caps w:val="0"/>
          <w:color w:val="333333"/>
          <w:spacing w:val="0"/>
          <w:kern w:val="0"/>
          <w:sz w:val="32"/>
          <w:szCs w:val="32"/>
          <w:shd w:val="clear" w:fill="FFFFFF"/>
          <w:lang w:val="en-US" w:eastAsia="zh-CN" w:bidi="ar-SA"/>
        </w:rPr>
      </w:pPr>
      <w:r>
        <w:rPr>
          <w:rFonts w:hint="eastAsia" w:ascii="黑体" w:hAnsi="黑体" w:eastAsia="黑体" w:cs="黑体"/>
          <w:i w:val="0"/>
          <w:iCs w:val="0"/>
          <w:caps w:val="0"/>
          <w:color w:val="333333"/>
          <w:spacing w:val="0"/>
          <w:kern w:val="0"/>
          <w:sz w:val="32"/>
          <w:szCs w:val="32"/>
          <w:shd w:val="clear" w:fill="FFFFFF"/>
          <w:lang w:val="en-US" w:eastAsia="zh-CN" w:bidi="ar-SA"/>
        </w:rPr>
        <w:t>三、下一步工作建议</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default" w:ascii="黑体" w:hAnsi="黑体" w:eastAsia="黑体" w:cs="黑体"/>
          <w:i w:val="0"/>
          <w:iCs w:val="0"/>
          <w:caps w:val="0"/>
          <w:color w:val="333333"/>
          <w:spacing w:val="0"/>
          <w:kern w:val="0"/>
          <w:sz w:val="32"/>
          <w:szCs w:val="32"/>
          <w:shd w:val="clear" w:fill="FFFFFF"/>
          <w:lang w:val="en-US" w:eastAsia="zh-CN" w:bidi="ar-SA"/>
        </w:rPr>
      </w:pPr>
      <w:r>
        <w:rPr>
          <w:rFonts w:hint="eastAsia" w:ascii="黑体" w:hAnsi="黑体" w:eastAsia="黑体" w:cs="黑体"/>
          <w:i w:val="0"/>
          <w:iCs w:val="0"/>
          <w:caps w:val="0"/>
          <w:color w:val="333333"/>
          <w:spacing w:val="0"/>
          <w:kern w:val="0"/>
          <w:sz w:val="32"/>
          <w:szCs w:val="32"/>
          <w:shd w:val="clear" w:fill="FFFFFF"/>
          <w:lang w:val="en-US" w:eastAsia="zh-CN" w:bidi="ar-SA"/>
        </w:rPr>
        <w:t>针对以上存在的问题，提出以下建议：</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 w:hAnsi="仿宋" w:eastAsia="仿宋" w:cs="仿宋"/>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一是保存量、挖增量，力促工业经济回升。</w:t>
      </w:r>
      <w:r>
        <w:rPr>
          <w:rFonts w:hint="eastAsia" w:ascii="仿宋" w:hAnsi="仿宋" w:eastAsia="仿宋" w:cs="仿宋"/>
          <w:b w:val="0"/>
          <w:bCs w:val="0"/>
          <w:color w:val="auto"/>
          <w:kern w:val="0"/>
          <w:sz w:val="32"/>
          <w:szCs w:val="32"/>
          <w:lang w:val="en-US" w:eastAsia="zh-CN" w:bidi="ar-SA"/>
        </w:rPr>
        <w:t>由园区及相关部门协同，做好存量企业的生产要素保障，确保下半年开足马力保生产，如首钢、金诚佳业等；全力做好增量企业入统前期资料的收集，尽快入库入统，为县域工业做贡献，如：国成能源、绿峰科技等企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color w:val="auto"/>
          <w:kern w:val="0"/>
          <w:sz w:val="32"/>
          <w:szCs w:val="32"/>
          <w:lang w:val="en-US" w:eastAsia="zh-CN" w:bidi="ar-SA"/>
        </w:rPr>
        <w:t>二是全力推进有效投资落地、加快项目开工力度。</w:t>
      </w:r>
      <w:r>
        <w:rPr>
          <w:rFonts w:hint="eastAsia" w:ascii="仿宋_GB2312" w:hAnsi="仿宋_GB2312" w:eastAsia="仿宋_GB2312" w:cs="仿宋_GB2312"/>
          <w:b w:val="0"/>
          <w:bCs/>
          <w:color w:val="auto"/>
          <w:kern w:val="2"/>
          <w:sz w:val="32"/>
          <w:szCs w:val="32"/>
          <w:lang w:val="en-US" w:eastAsia="zh-CN" w:bidi="ar-SA"/>
        </w:rPr>
        <w:t>新开工项目是投资较快增长的根本保障。各级各部门进一步加强项目的摸排和梳理工作，对已审批的项目要尽快开工建设，对未开工或进度缓慢的重点项目在推进中遇到实际困难要协调解决，尽量协调要素保障部门简化办事程序，做好项目建设的土地、资金等要素保障力争新开工一批、申报一批、入库一批，不断扩充施工项目和新开工项目库，有效增强投资增长后劲。</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 w:hAnsi="仿宋" w:eastAsia="仿宋" w:cs="仿宋"/>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三是消费市场扩容提质刻不容缓。</w:t>
      </w:r>
      <w:r>
        <w:rPr>
          <w:rFonts w:hint="eastAsia" w:ascii="仿宋" w:hAnsi="仿宋" w:eastAsia="仿宋" w:cs="仿宋"/>
          <w:b w:val="0"/>
          <w:bCs w:val="0"/>
          <w:color w:val="auto"/>
          <w:kern w:val="0"/>
          <w:sz w:val="32"/>
          <w:szCs w:val="32"/>
          <w:lang w:val="en-US" w:eastAsia="zh-CN" w:bidi="ar-SA"/>
        </w:rPr>
        <w:t>除做好大宗消费、电子商务和夜间经济、房交会等政策刺激外，重点做好那拉美途酒店、辰美商贸、盛世喜宴等12家企业（个体）入库入统；依托国企资源优势，优化相关单位、企业，做大做强服务业，提升第三产业占GDP比重。</w:t>
      </w:r>
    </w:p>
    <w:p>
      <w:pPr>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br w:type="page"/>
      </w:r>
    </w:p>
    <w:p>
      <w:pPr>
        <w:rPr>
          <w:rFonts w:hint="default" w:ascii="仿宋" w:hAnsi="仿宋" w:eastAsia="仿宋" w:cs="仿宋"/>
          <w:b w:val="0"/>
          <w:bCs w:val="0"/>
          <w:color w:val="auto"/>
          <w:kern w:val="0"/>
          <w:sz w:val="32"/>
          <w:szCs w:val="32"/>
          <w:lang w:val="en-US" w:eastAsia="zh-CN" w:bidi="ar-SA"/>
        </w:rPr>
        <w:sectPr>
          <w:footerReference r:id="rId3" w:type="default"/>
          <w:pgSz w:w="11905" w:h="16838"/>
          <w:pgMar w:top="2098" w:right="1531" w:bottom="1984" w:left="1531"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pPr>
        <w:rPr>
          <w:rFonts w:hint="default" w:ascii="仿宋" w:hAnsi="仿宋" w:eastAsia="仿宋" w:cs="仿宋"/>
          <w:b w:val="0"/>
          <w:bCs w:val="0"/>
          <w:color w:val="auto"/>
          <w:kern w:val="0"/>
          <w:sz w:val="32"/>
          <w:szCs w:val="32"/>
          <w:lang w:val="en-US" w:eastAsia="zh-CN" w:bidi="ar-SA"/>
        </w:rPr>
      </w:pPr>
      <w:r>
        <w:rPr>
          <w:rFonts w:hint="default" w:ascii="仿宋" w:hAnsi="仿宋" w:eastAsia="仿宋" w:cs="仿宋"/>
          <w:b w:val="0"/>
          <w:bCs w:val="0"/>
          <w:color w:val="auto"/>
          <w:kern w:val="0"/>
          <w:sz w:val="32"/>
          <w:szCs w:val="32"/>
          <w:lang w:val="en-US" w:eastAsia="zh-CN" w:bidi="ar-SA"/>
        </w:rPr>
        <w:br w:type="page"/>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default" w:ascii="仿宋" w:hAnsi="仿宋" w:eastAsia="仿宋" w:cs="仿宋"/>
          <w:b w:val="0"/>
          <w:bCs w:val="0"/>
          <w:color w:val="auto"/>
          <w:kern w:val="0"/>
          <w:sz w:val="32"/>
          <w:szCs w:val="32"/>
          <w:lang w:val="en-US" w:eastAsia="zh-CN" w:bidi="ar-SA"/>
        </w:rPr>
      </w:pPr>
    </w:p>
    <w:sectPr>
      <w:pgSz w:w="16838" w:h="23810"/>
      <w:pgMar w:top="567" w:right="567" w:bottom="567" w:left="567" w:header="851" w:footer="992"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pStyle w:val="10"/>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xOGMxNTUwMTgwMjUxODRiMjM0ZTliZjliYWViYTgifQ=="/>
  </w:docVars>
  <w:rsids>
    <w:rsidRoot w:val="00000000"/>
    <w:rsid w:val="01787946"/>
    <w:rsid w:val="021533E7"/>
    <w:rsid w:val="04337082"/>
    <w:rsid w:val="05E76997"/>
    <w:rsid w:val="07AF3C53"/>
    <w:rsid w:val="090B5EF3"/>
    <w:rsid w:val="0B2B4B17"/>
    <w:rsid w:val="0C705570"/>
    <w:rsid w:val="0F8E0DEF"/>
    <w:rsid w:val="100A6846"/>
    <w:rsid w:val="10E6411B"/>
    <w:rsid w:val="11856B35"/>
    <w:rsid w:val="129E3ED1"/>
    <w:rsid w:val="151C2172"/>
    <w:rsid w:val="171D1D58"/>
    <w:rsid w:val="1800023D"/>
    <w:rsid w:val="1B1A33C4"/>
    <w:rsid w:val="1B6F33A0"/>
    <w:rsid w:val="1BCD09B3"/>
    <w:rsid w:val="1CC40171"/>
    <w:rsid w:val="1DAB4D83"/>
    <w:rsid w:val="1F9C6E3F"/>
    <w:rsid w:val="226E341B"/>
    <w:rsid w:val="22FE5379"/>
    <w:rsid w:val="24AE2FB9"/>
    <w:rsid w:val="25A94457"/>
    <w:rsid w:val="26154173"/>
    <w:rsid w:val="26CE6FC4"/>
    <w:rsid w:val="29DD2A1A"/>
    <w:rsid w:val="29FD274A"/>
    <w:rsid w:val="2AA565B5"/>
    <w:rsid w:val="34BA50E5"/>
    <w:rsid w:val="356A05C7"/>
    <w:rsid w:val="368261E9"/>
    <w:rsid w:val="374F2CEF"/>
    <w:rsid w:val="392C2437"/>
    <w:rsid w:val="3A4F75F0"/>
    <w:rsid w:val="3B6D3641"/>
    <w:rsid w:val="3F6F2AC7"/>
    <w:rsid w:val="4086374C"/>
    <w:rsid w:val="43F41FC9"/>
    <w:rsid w:val="47C21F2B"/>
    <w:rsid w:val="480F2C57"/>
    <w:rsid w:val="48AA496F"/>
    <w:rsid w:val="48FD70CE"/>
    <w:rsid w:val="490948F4"/>
    <w:rsid w:val="49594485"/>
    <w:rsid w:val="49B64C43"/>
    <w:rsid w:val="4B270E47"/>
    <w:rsid w:val="4B661B8A"/>
    <w:rsid w:val="4DBA7607"/>
    <w:rsid w:val="4EEA4880"/>
    <w:rsid w:val="53946C2B"/>
    <w:rsid w:val="56243BE8"/>
    <w:rsid w:val="58423016"/>
    <w:rsid w:val="59B50191"/>
    <w:rsid w:val="5B32744D"/>
    <w:rsid w:val="5BA7266B"/>
    <w:rsid w:val="5BEF1728"/>
    <w:rsid w:val="5C714593"/>
    <w:rsid w:val="5E195599"/>
    <w:rsid w:val="5F7C5773"/>
    <w:rsid w:val="5FE432F5"/>
    <w:rsid w:val="60217428"/>
    <w:rsid w:val="60361C82"/>
    <w:rsid w:val="60E2185B"/>
    <w:rsid w:val="62044C76"/>
    <w:rsid w:val="62483C56"/>
    <w:rsid w:val="626E7904"/>
    <w:rsid w:val="636E73D6"/>
    <w:rsid w:val="63F542FE"/>
    <w:rsid w:val="64CC2606"/>
    <w:rsid w:val="659C6A47"/>
    <w:rsid w:val="65D97B21"/>
    <w:rsid w:val="67612B9E"/>
    <w:rsid w:val="686E45BA"/>
    <w:rsid w:val="68743E4C"/>
    <w:rsid w:val="69CD098C"/>
    <w:rsid w:val="69E37EB2"/>
    <w:rsid w:val="6A1B634C"/>
    <w:rsid w:val="6C9228B5"/>
    <w:rsid w:val="6D8F00D3"/>
    <w:rsid w:val="708D6A74"/>
    <w:rsid w:val="72D90903"/>
    <w:rsid w:val="73CA1587"/>
    <w:rsid w:val="775E5C88"/>
    <w:rsid w:val="778C2E19"/>
    <w:rsid w:val="77B334D2"/>
    <w:rsid w:val="79A27AE1"/>
    <w:rsid w:val="7A044199"/>
    <w:rsid w:val="7AF64981"/>
    <w:rsid w:val="7B191ED5"/>
    <w:rsid w:val="7DA86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99"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6">
    <w:name w:val="Default Paragraph Font"/>
    <w:qFormat/>
    <w:uiPriority w:val="0"/>
  </w:style>
  <w:style w:type="table" w:default="1" w:styleId="15">
    <w:name w:val="Normal Table"/>
    <w:qFormat/>
    <w:uiPriority w:val="0"/>
    <w:tblPr>
      <w:tblCellMar>
        <w:top w:w="0" w:type="dxa"/>
        <w:left w:w="108" w:type="dxa"/>
        <w:bottom w:w="0" w:type="dxa"/>
        <w:right w:w="108" w:type="dxa"/>
      </w:tblCellMar>
    </w:tblPr>
  </w:style>
  <w:style w:type="paragraph" w:styleId="4">
    <w:name w:val="table of authorities"/>
    <w:basedOn w:val="1"/>
    <w:next w:val="1"/>
    <w:unhideWhenUsed/>
    <w:qFormat/>
    <w:uiPriority w:val="99"/>
    <w:pPr>
      <w:spacing w:before="100" w:beforeAutospacing="1" w:after="100" w:afterAutospacing="1"/>
      <w:ind w:left="420" w:leftChars="200"/>
    </w:pPr>
    <w:rPr>
      <w:rFonts w:ascii="Times New Roman" w:hAnsi="Times New Roman" w:eastAsia="宋体" w:cs="Times New Roman"/>
      <w:szCs w:val="21"/>
    </w:rPr>
  </w:style>
  <w:style w:type="paragraph" w:styleId="5">
    <w:name w:val="Normal Indent"/>
    <w:next w:val="6"/>
    <w:qFormat/>
    <w:uiPriority w:val="0"/>
    <w:pPr>
      <w:widowControl w:val="0"/>
      <w:suppressAutoHyphens/>
      <w:bidi w:val="0"/>
      <w:ind w:firstLine="420"/>
      <w:jc w:val="both"/>
    </w:pPr>
    <w:rPr>
      <w:rFonts w:ascii="Calibri" w:hAnsi="Calibri" w:eastAsia="宋体" w:cs="Times New Roman"/>
      <w:color w:val="auto"/>
      <w:kern w:val="2"/>
      <w:sz w:val="21"/>
      <w:szCs w:val="22"/>
      <w:lang w:val="en-US" w:eastAsia="zh-CN" w:bidi="ar-SA"/>
    </w:rPr>
  </w:style>
  <w:style w:type="paragraph" w:styleId="6">
    <w:name w:val="toc 8"/>
    <w:next w:val="1"/>
    <w:unhideWhenUsed/>
    <w:qFormat/>
    <w:uiPriority w:val="99"/>
    <w:pPr>
      <w:widowControl w:val="0"/>
      <w:spacing w:before="100" w:beforeAutospacing="1" w:after="100" w:afterAutospacing="1"/>
      <w:ind w:left="2940" w:leftChars="1400"/>
      <w:jc w:val="both"/>
    </w:pPr>
    <w:rPr>
      <w:rFonts w:ascii="Calibri" w:hAnsi="Calibri" w:eastAsia="宋体" w:cs="Times New Roman"/>
      <w:kern w:val="2"/>
      <w:sz w:val="21"/>
      <w:szCs w:val="21"/>
      <w:lang w:val="en-US" w:eastAsia="zh-CN" w:bidi="ar-SA"/>
    </w:rPr>
  </w:style>
  <w:style w:type="paragraph" w:styleId="7">
    <w:name w:val="Body Text Indent"/>
    <w:basedOn w:val="1"/>
    <w:next w:val="8"/>
    <w:qFormat/>
    <w:uiPriority w:val="0"/>
    <w:pPr>
      <w:ind w:left="-523" w:leftChars="-254" w:firstLine="471" w:firstLineChars="200"/>
    </w:pPr>
    <w:rPr>
      <w:sz w:val="24"/>
    </w:rPr>
  </w:style>
  <w:style w:type="paragraph" w:styleId="8">
    <w:name w:val="Body Text First Indent 2"/>
    <w:basedOn w:val="7"/>
    <w:next w:val="9"/>
    <w:qFormat/>
    <w:uiPriority w:val="0"/>
    <w:pPr>
      <w:ind w:firstLine="420" w:firstLineChars="200"/>
    </w:pPr>
  </w:style>
  <w:style w:type="paragraph" w:styleId="9">
    <w:name w:val="Plain Text"/>
    <w:basedOn w:val="1"/>
    <w:next w:val="10"/>
    <w:qFormat/>
    <w:uiPriority w:val="0"/>
    <w:rPr>
      <w:rFonts w:ascii="宋体" w:hAnsi="Courier New"/>
      <w:szCs w:val="21"/>
    </w:rPr>
  </w:style>
  <w:style w:type="paragraph" w:styleId="10">
    <w:name w:val="List Number 5"/>
    <w:basedOn w:val="1"/>
    <w:qFormat/>
    <w:uiPriority w:val="0"/>
    <w:pPr>
      <w:numPr>
        <w:ilvl w:val="0"/>
        <w:numId w:val="1"/>
      </w:numPr>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qFormat/>
    <w:uiPriority w:val="0"/>
    <w:pPr>
      <w:snapToGrid w:val="0"/>
      <w:jc w:val="left"/>
    </w:pPr>
    <w:rPr>
      <w:sz w:val="18"/>
      <w:szCs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rPr>
  </w:style>
  <w:style w:type="character" w:styleId="17">
    <w:name w:val="footnote reference"/>
    <w:basedOn w:val="16"/>
    <w:qFormat/>
    <w:uiPriority w:val="0"/>
    <w:rPr>
      <w:vertAlign w:val="superscript"/>
    </w:rPr>
  </w:style>
  <w:style w:type="character" w:customStyle="1" w:styleId="18">
    <w:name w:val="font61"/>
    <w:basedOn w:val="16"/>
    <w:qFormat/>
    <w:uiPriority w:val="0"/>
    <w:rPr>
      <w:rFonts w:hint="eastAsia" w:ascii="楷体" w:hAnsi="楷体" w:eastAsia="楷体" w:cs="楷体"/>
      <w:color w:val="000000"/>
      <w:sz w:val="20"/>
      <w:szCs w:val="20"/>
      <w:u w:val="none"/>
    </w:rPr>
  </w:style>
  <w:style w:type="character" w:customStyle="1" w:styleId="19">
    <w:name w:val="font31"/>
    <w:basedOn w:val="16"/>
    <w:qFormat/>
    <w:uiPriority w:val="0"/>
    <w:rPr>
      <w:rFonts w:ascii="Arial" w:hAnsi="Arial" w:cs="Arial"/>
      <w:b/>
      <w:bCs/>
      <w:color w:val="000000"/>
      <w:sz w:val="24"/>
      <w:szCs w:val="24"/>
      <w:u w:val="none"/>
    </w:rPr>
  </w:style>
  <w:style w:type="character" w:customStyle="1" w:styleId="20">
    <w:name w:val="font21"/>
    <w:basedOn w:val="16"/>
    <w:qFormat/>
    <w:uiPriority w:val="0"/>
    <w:rPr>
      <w:rFonts w:hint="eastAsia" w:ascii="宋体" w:hAnsi="宋体" w:eastAsia="宋体" w:cs="宋体"/>
      <w:b/>
      <w:bCs/>
      <w:color w:val="000000"/>
      <w:sz w:val="24"/>
      <w:szCs w:val="24"/>
      <w:u w:val="none"/>
    </w:rPr>
  </w:style>
  <w:style w:type="character" w:customStyle="1" w:styleId="21">
    <w:name w:val="font51"/>
    <w:basedOn w:val="16"/>
    <w:qFormat/>
    <w:uiPriority w:val="0"/>
    <w:rPr>
      <w:rFonts w:hint="eastAsia" w:ascii="宋体" w:hAnsi="宋体" w:eastAsia="宋体" w:cs="宋体"/>
      <w:color w:val="000000"/>
      <w:sz w:val="20"/>
      <w:szCs w:val="20"/>
      <w:u w:val="none"/>
    </w:rPr>
  </w:style>
  <w:style w:type="character" w:customStyle="1" w:styleId="22">
    <w:name w:val="font71"/>
    <w:basedOn w:val="16"/>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2912</Words>
  <Characters>3458</Characters>
  <Paragraphs>51</Paragraphs>
  <TotalTime>29</TotalTime>
  <ScaleCrop>false</ScaleCrop>
  <LinksUpToDate>false</LinksUpToDate>
  <CharactersWithSpaces>3481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2021-02-10T02:39:00Z</dcterms:created>
  <dc:creator>。。。。。。</dc:creator>
  <cp:lastModifiedBy>Administrator</cp:lastModifiedBy>
  <cp:lastPrinted>2024-07-30T05:16:00Z</cp:lastPrinted>
  <dcterms:modified xsi:type="dcterms:W3CDTF">2024-10-12T05:18:48Z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629582790_cloud</vt:lpwstr>
  </property>
  <property fmtid="{D5CDD505-2E9C-101B-9397-08002B2CF9AE}" pid="4" name="ICV">
    <vt:lpwstr>729F0B541417461AB42DD44A12E2D776_13</vt:lpwstr>
  </property>
</Properties>
</file>