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F7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3" w:firstLineChars="200"/>
        <w:jc w:val="center"/>
        <w:textAlignment w:val="auto"/>
        <w:outlineLvl w:val="0"/>
        <w:rPr>
          <w:rFonts w:hint="default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  <w:bookmarkStart w:id="0" w:name="_Toc22948"/>
      <w:bookmarkStart w:id="1" w:name="_Toc28901"/>
      <w:bookmarkStart w:id="2" w:name="_Toc9482"/>
      <w:bookmarkStart w:id="3" w:name="_Toc11510"/>
      <w:bookmarkStart w:id="4" w:name="_Toc26306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FFFFFF"/>
          <w:lang w:val="en-US" w:eastAsia="zh-CN"/>
        </w:rPr>
        <w:t>2025年新源县经济运行分析</w:t>
      </w:r>
      <w:bookmarkEnd w:id="0"/>
      <w:bookmarkEnd w:id="1"/>
      <w:bookmarkEnd w:id="2"/>
      <w:bookmarkEnd w:id="3"/>
      <w:bookmarkEnd w:id="4"/>
    </w:p>
    <w:p w14:paraId="63BA1D8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default"/>
          <w:color w:val="auto"/>
          <w:lang w:val="en-US" w:eastAsia="zh-CN"/>
        </w:rPr>
      </w:pPr>
    </w:p>
    <w:p w14:paraId="0F254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2025年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是推动“十四五”规划圆满收官的攻坚之年，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全县上下坚持以习近平总书记系列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重要</w:t>
      </w:r>
      <w:bookmarkStart w:id="26" w:name="_GoBack"/>
      <w:bookmarkEnd w:id="26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讲话精神为指导，深入贯彻落实党的二十大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和二十届历次全会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精神，完整准确落实新时代党的治疆方略，坚持稳中求进工作总基调，扎实推动经济高质量发展。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2025年全县经济保持平稳增长，工业经济表现尤为亮眼，成为稳增长的核心动力。</w:t>
      </w:r>
    </w:p>
    <w:p w14:paraId="4CA38355">
      <w:pPr>
        <w:pStyle w:val="2"/>
        <w:bidi w:val="0"/>
        <w:rPr>
          <w:rFonts w:hint="default" w:ascii="黑体" w:hAnsi="黑体" w:eastAsia="黑体" w:cs="黑体"/>
          <w:b w:val="0"/>
          <w:bCs w:val="0"/>
          <w:color w:val="auto"/>
          <w:szCs w:val="32"/>
          <w:lang w:val="en-US" w:eastAsia="zh-CN"/>
        </w:rPr>
      </w:pPr>
      <w:bookmarkStart w:id="5" w:name="_Toc13562"/>
      <w:bookmarkStart w:id="6" w:name="_Toc11784"/>
      <w:bookmarkStart w:id="7" w:name="_Toc1086"/>
      <w:r>
        <w:rPr>
          <w:rFonts w:hint="eastAsia"/>
          <w:lang w:val="en-US" w:eastAsia="zh-CN"/>
        </w:rPr>
        <w:t>一、</w:t>
      </w:r>
      <w:bookmarkEnd w:id="5"/>
      <w:bookmarkEnd w:id="6"/>
      <w:bookmarkEnd w:id="7"/>
      <w:r>
        <w:rPr>
          <w:rFonts w:hint="eastAsia"/>
          <w:lang w:val="en-US" w:eastAsia="zh-CN"/>
        </w:rPr>
        <w:t>地区生产总值</w:t>
      </w:r>
    </w:p>
    <w:p w14:paraId="5D2BF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根据地区生产总值统一核算结果（以下均按不变价计算），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我县地区生产总值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156.29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亿元，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迈上150亿元新台阶，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增长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6.9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%。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三次产业分别增长5.4%、10.1%、6.0%，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三次产业占比为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25.76:30.31:43.93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，三次产业对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地区生产总值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的贡献率为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%、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38.5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%、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37.5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%。</w:t>
      </w:r>
    </w:p>
    <w:p w14:paraId="7534ED12">
      <w:pPr>
        <w:pStyle w:val="3"/>
        <w:bidi w:val="0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bookmarkStart w:id="8" w:name="_Toc9625"/>
      <w:bookmarkStart w:id="9" w:name="_Toc15441"/>
      <w:bookmarkStart w:id="10" w:name="_Toc28603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二、农林牧渔业</w:t>
      </w:r>
      <w:bookmarkEnd w:id="8"/>
      <w:bookmarkEnd w:id="9"/>
      <w:bookmarkEnd w:id="10"/>
    </w:p>
    <w:p w14:paraId="0EC4F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全县农林牧渔业总产值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66.87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亿元，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增长5.3%（按不变价算）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其中：农业产值25.7亿元，增长10.5%，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/>
        </w:rPr>
        <w:t>拉动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农林牧渔业总产值增长3.5个百分点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；林业产值0.52亿元，增长3.0%，拉动</w:t>
      </w:r>
      <w:r>
        <w:rPr>
          <w:rFonts w:hint="default" w:cs="仿宋_GB2312"/>
          <w:b w:val="0"/>
          <w:bCs w:val="0"/>
          <w:color w:val="auto"/>
          <w:sz w:val="32"/>
          <w:szCs w:val="32"/>
          <w:lang w:val="en-US" w:eastAsia="zh-CN"/>
        </w:rPr>
        <w:t>0.03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个百分点；牧业产值38.4亿元，增长1.0%，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拉动0.6个百分点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；渔业产值0.34亿元，增长165.6%，拉动</w:t>
      </w:r>
      <w:r>
        <w:rPr>
          <w:rFonts w:hint="default" w:cs="仿宋_GB2312"/>
          <w:b w:val="0"/>
          <w:bCs w:val="0"/>
          <w:color w:val="auto"/>
          <w:sz w:val="32"/>
          <w:szCs w:val="32"/>
          <w:lang w:val="en-US" w:eastAsia="zh-CN"/>
        </w:rPr>
        <w:t>0.7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个百分点；农林牧渔专业及辅助性活动产值</w:t>
      </w:r>
      <w:r>
        <w:rPr>
          <w:rFonts w:hint="default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cs="仿宋_GB2312"/>
          <w:b w:val="0"/>
          <w:bCs w:val="0"/>
          <w:color w:val="auto"/>
          <w:sz w:val="32"/>
          <w:szCs w:val="32"/>
          <w:lang w:val="en-US" w:eastAsia="zh-CN"/>
        </w:rPr>
        <w:t>89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亿元，增长</w:t>
      </w:r>
      <w:r>
        <w:rPr>
          <w:rFonts w:hint="default" w:cs="仿宋_GB2312"/>
          <w:b w:val="0"/>
          <w:bCs w:val="0"/>
          <w:color w:val="auto"/>
          <w:sz w:val="32"/>
          <w:szCs w:val="32"/>
          <w:lang w:val="en-US" w:eastAsia="zh-CN"/>
        </w:rPr>
        <w:t>13.8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％，拉动</w:t>
      </w:r>
      <w:r>
        <w:rPr>
          <w:rFonts w:hint="default" w:cs="仿宋_GB2312"/>
          <w:b w:val="0"/>
          <w:bCs w:val="0"/>
          <w:color w:val="auto"/>
          <w:sz w:val="32"/>
          <w:szCs w:val="32"/>
          <w:lang w:val="en-US" w:eastAsia="zh-CN"/>
        </w:rPr>
        <w:t>0.4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个百分点。</w:t>
      </w:r>
    </w:p>
    <w:p w14:paraId="20C35C4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7D100982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三、规模以上工业</w:t>
      </w:r>
    </w:p>
    <w:p w14:paraId="5692D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2025年，完成规模以上工业总产值89.36亿元，同比增长10.4%,实现增加值22.99亿元，同比增长</w:t>
      </w:r>
      <w:r>
        <w:rPr>
          <w:rFonts w:hint="eastAsia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38.2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%。其中：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/>
        </w:rPr>
        <w:t>采矿业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占规模以上工业增加值的30.7%，同比增长480.55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/>
        </w:rPr>
        <w:t>制造业占规模以上工业增加值的65.3%，同比增长10.44%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/>
        </w:rPr>
        <w:t>电力、热力燃气及水的生产和供应业占比4.0%，同比下降12.34%。</w:t>
      </w:r>
    </w:p>
    <w:p w14:paraId="76929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/>
        </w:rPr>
        <w:t>2025年规模以上工业企业中战略性新兴企业占比24.3%。战新企业总产值占规模以上工业总产值</w:t>
      </w:r>
      <w:r>
        <w:rPr>
          <w:rFonts w:hint="eastAsia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/>
        </w:rPr>
        <w:t>6.7%，增加值占比7.1%，同比增长11.94%。</w:t>
      </w:r>
    </w:p>
    <w:p w14:paraId="0956DAD9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四、建筑业</w:t>
      </w:r>
    </w:p>
    <w:p w14:paraId="4C7D8BD1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2025年建筑业总产值完成13.5亿元，同比增长8.2%。签订合同额同比下降5.42%。其中，本年新签合同额下降28.19%。</w:t>
      </w:r>
    </w:p>
    <w:p w14:paraId="53F5BE3E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五、固定资产投资</w:t>
      </w:r>
    </w:p>
    <w:p w14:paraId="4D1BCBF1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2025年，固定资产投资（不含农户）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同比增长1.2%，前三季度投资额增速分别为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231.01%、12%、-12.5%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vertAlign w:val="baseline"/>
          <w:lang w:val="en-US" w:eastAsia="zh-CN" w:bidi="ar-SA"/>
        </w:rPr>
        <w:t>第一、二、三产业投资占比为2.2：29.7：68.1；同比分别增长-64.11%、43.05%和-5.26%</w:t>
      </w:r>
      <w:r>
        <w:rPr>
          <w:rFonts w:hint="eastAsia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vertAlign w:val="baseline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建筑工程、设备购置及其他费用投资同比增长-3.5%、-7.5%、73.5%，占全部固定资产投资比重分别为83.0%、5.9%、11.1%，拉动投资-3.0、-0.5、4.7个百分点。</w:t>
      </w:r>
    </w:p>
    <w:p w14:paraId="16010493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六、房地产</w:t>
      </w:r>
    </w:p>
    <w:p w14:paraId="54DFF2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FF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2025年房地产开发投资同比下降52.4%，商品房销售面积同比增长6.1%，商品房销售额同比增长13.4%</w:t>
      </w:r>
      <w:r>
        <w:rPr>
          <w:rFonts w:hint="eastAsia" w:cs="仿宋_GB2312"/>
          <w:color w:val="000000"/>
          <w:sz w:val="32"/>
          <w:szCs w:val="24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其中</w:t>
      </w:r>
      <w:r>
        <w:rPr>
          <w:rFonts w:hint="eastAsia" w:cs="仿宋_GB2312"/>
          <w:color w:val="000000"/>
          <w:sz w:val="32"/>
          <w:szCs w:val="24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住宅销售面积增长</w:t>
      </w:r>
      <w:r>
        <w:rPr>
          <w:rFonts w:hint="default" w:ascii="仿宋_GB2312" w:hAnsi="仿宋_GB2312" w:eastAsia="仿宋_GB2312" w:cs="仿宋_GB2312"/>
          <w:color w:val="000000"/>
          <w:sz w:val="32"/>
          <w:szCs w:val="24"/>
          <w:lang w:val="en-US" w:eastAsia="zh-CN"/>
        </w:rPr>
        <w:t>15.4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％，销售额同比增长</w:t>
      </w:r>
      <w:r>
        <w:rPr>
          <w:rFonts w:hint="default" w:ascii="仿宋_GB2312" w:hAnsi="仿宋_GB2312" w:eastAsia="仿宋_GB2312" w:cs="仿宋_GB2312"/>
          <w:color w:val="000000"/>
          <w:sz w:val="32"/>
          <w:szCs w:val="24"/>
          <w:lang w:val="en-US" w:eastAsia="zh-CN"/>
        </w:rPr>
        <w:t>24.7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％，住宅销售均价同比增长8.2%。</w:t>
      </w:r>
    </w:p>
    <w:p w14:paraId="5F06A87D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bookmarkStart w:id="11" w:name="_Toc254"/>
      <w:bookmarkStart w:id="12" w:name="_Toc14988"/>
      <w:bookmarkStart w:id="13" w:name="_Toc31115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七、消费市场</w:t>
      </w:r>
    </w:p>
    <w:bookmarkEnd w:id="11"/>
    <w:bookmarkEnd w:id="12"/>
    <w:bookmarkEnd w:id="13"/>
    <w:p w14:paraId="1D3EA288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2025年，我县实现全口径社会消费品零售总额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40.86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亿元，同比增长0.2%；限额以上社会消费品零售总额4.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亿元，同比下降12.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%。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粮油、食品类（占限上零售额26.3%）同比增长17.3%，；汽车类（占20.6%）下降11.1%；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石油及制品类（占18.3%）下降27.9%；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中西药品类（占1.8%），同比下降11.1%。</w:t>
      </w:r>
    </w:p>
    <w:p w14:paraId="7F3E43B1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bookmarkStart w:id="14" w:name="_Toc14239"/>
      <w:bookmarkStart w:id="15" w:name="_Toc8488"/>
      <w:bookmarkStart w:id="16" w:name="_Toc9293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八、规模以上服务业</w:t>
      </w:r>
    </w:p>
    <w:bookmarkEnd w:id="14"/>
    <w:bookmarkEnd w:id="15"/>
    <w:bookmarkEnd w:id="16"/>
    <w:p w14:paraId="3501160C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1-11月，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我县规模以上服务业实现营业收入6.84亿元，同比增长50.9%，其中，规模以上营利性服务业实现营业收入3.67亿元，同比增长41.2%。</w:t>
      </w:r>
    </w:p>
    <w:p w14:paraId="21CC94B6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bookmarkStart w:id="17" w:name="_Toc1716"/>
      <w:bookmarkStart w:id="18" w:name="_Toc26920"/>
      <w:bookmarkStart w:id="19" w:name="_Toc14191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九、财政金融</w:t>
      </w:r>
      <w:bookmarkEnd w:id="17"/>
      <w:bookmarkEnd w:id="18"/>
      <w:bookmarkEnd w:id="19"/>
    </w:p>
    <w:p w14:paraId="489DE4A1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2025年，实现一般公共预算收入7.54亿元，同比增长8.9%。其中：税收收入5.04亿元（占比66.85%），增长2.4%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2025年实现一般公共预算支出43.07亿元，同比下降5.6%。</w:t>
      </w:r>
    </w:p>
    <w:p w14:paraId="52416895">
      <w:pPr>
        <w:pStyle w:val="3"/>
        <w:bidi w:val="0"/>
        <w:rPr>
          <w:rFonts w:hint="eastAsia"/>
          <w:lang w:val="en-US" w:eastAsia="zh-CN"/>
        </w:rPr>
      </w:pPr>
      <w:bookmarkStart w:id="20" w:name="_Toc6078"/>
      <w:bookmarkStart w:id="21" w:name="_Toc1138"/>
      <w:bookmarkStart w:id="22" w:name="_Toc18298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12月末，全县金融机构人民币各项存款余额153.38亿元，同比增长8.28%;金融机构人民币各项贷款余额135.11亿元，增长11.78%。</w:t>
      </w:r>
      <w:bookmarkEnd w:id="20"/>
    </w:p>
    <w:bookmarkEnd w:id="21"/>
    <w:bookmarkEnd w:id="22"/>
    <w:p w14:paraId="6335290E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十、旅游</w:t>
      </w:r>
    </w:p>
    <w:p w14:paraId="64B94405">
      <w:pPr>
        <w:pStyle w:val="3"/>
        <w:bidi w:val="0"/>
        <w:rPr>
          <w:rFonts w:hint="default"/>
          <w:lang w:val="en-US" w:eastAsia="zh-CN"/>
        </w:rPr>
      </w:pPr>
    </w:p>
    <w:p w14:paraId="0A36B625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2025年累计接待国内游客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2318.40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万人次，同比增长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15.18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%；游客花费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171.40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亿元，同比增长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21.58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%。</w:t>
      </w:r>
    </w:p>
    <w:p w14:paraId="4DF6649E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bookmarkStart w:id="23" w:name="_Toc19240"/>
      <w:bookmarkStart w:id="24" w:name="_Toc11315"/>
      <w:bookmarkStart w:id="25" w:name="_Toc2384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十一、外贸进出口、招商引资</w:t>
      </w:r>
    </w:p>
    <w:bookmarkEnd w:id="23"/>
    <w:bookmarkEnd w:id="24"/>
    <w:bookmarkEnd w:id="25"/>
    <w:p w14:paraId="2211A6D3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2025年完成外贸进出口总额2.54亿元，同比下降15%。</w:t>
      </w:r>
    </w:p>
    <w:p w14:paraId="01C92962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color w:val="0000FF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2025年实施招商引资项目121个（续建项目30个，新建项目91个），总投资342.67亿元，2025年计划投资174.50亿元，目前已到位资金156.14亿元、增长9.96%。</w:t>
      </w:r>
    </w:p>
    <w:p w14:paraId="6BEA3A25">
      <w:pPr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</w:p>
    <w:sectPr>
      <w:footerReference r:id="rId3" w:type="default"/>
      <w:pgSz w:w="11906" w:h="16838" w:orient="landscape"/>
      <w:pgMar w:top="1531" w:right="2098" w:bottom="1531" w:left="1984" w:header="0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E9008">
    <w:pPr>
      <w:pStyle w:val="1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16B79E0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HVxTJ/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6B79E0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pStyle w:val="9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419"/>
  <w:bookFoldPrinting w:val="1"/>
  <w:bookFoldPrintingSheets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ZTQwM2E3MDUyNDIxODM2ZWMzODA1YWI4MjEzOTYifQ=="/>
  </w:docVars>
  <w:rsids>
    <w:rsidRoot w:val="00000000"/>
    <w:rsid w:val="080362F9"/>
    <w:rsid w:val="25C66959"/>
    <w:rsid w:val="2EFF2AD9"/>
    <w:rsid w:val="3C604A8C"/>
    <w:rsid w:val="4796055C"/>
    <w:rsid w:val="49162C6A"/>
    <w:rsid w:val="69473F73"/>
    <w:rsid w:val="6A95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99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ind w:left="0" w:leftChars="0" w:firstLine="0" w:firstLineChars="0"/>
      <w:jc w:val="both"/>
      <w:outlineLvl w:val="3"/>
    </w:pPr>
    <w:rPr>
      <w:rFonts w:ascii="仿宋_GB2312" w:hAnsi="仿宋_GB2312" w:eastAsia="仿宋_GB2312" w:cs="仿宋_GB2312"/>
      <w:color w:val="auto"/>
      <w:kern w:val="0"/>
      <w:sz w:val="32"/>
      <w:szCs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spacing w:line="560" w:lineRule="exact"/>
      <w:ind w:firstLine="640" w:firstLineChars="200"/>
      <w:outlineLvl w:val="0"/>
    </w:pPr>
    <w:rPr>
      <w:rFonts w:ascii="黑体" w:hAnsi="黑体" w:eastAsia="黑体" w:cs="黑体"/>
      <w:color w:val="auto"/>
      <w:sz w:val="32"/>
      <w:szCs w:val="32"/>
    </w:rPr>
  </w:style>
  <w:style w:type="paragraph" w:styleId="3">
    <w:name w:val="heading 2"/>
    <w:basedOn w:val="1"/>
    <w:next w:val="1"/>
    <w:qFormat/>
    <w:uiPriority w:val="0"/>
    <w:pPr>
      <w:spacing w:line="560" w:lineRule="exact"/>
      <w:ind w:firstLine="643" w:firstLineChars="200"/>
      <w:outlineLvl w:val="1"/>
    </w:pPr>
    <w:rPr>
      <w:rFonts w:ascii="楷体" w:hAnsi="楷体" w:eastAsia="楷体" w:cs="楷体"/>
      <w:b/>
      <w:bCs/>
      <w:color w:val="auto"/>
      <w:sz w:val="32"/>
      <w:szCs w:val="32"/>
    </w:rPr>
  </w:style>
  <w:style w:type="paragraph" w:styleId="4">
    <w:name w:val="heading 3"/>
    <w:basedOn w:val="3"/>
    <w:next w:val="1"/>
    <w:link w:val="26"/>
    <w:qFormat/>
    <w:uiPriority w:val="0"/>
    <w:pPr>
      <w:ind w:firstLine="0" w:firstLineChars="0"/>
      <w:outlineLvl w:val="2"/>
    </w:pPr>
    <w:rPr>
      <w:b w:val="0"/>
      <w:bCs w:val="0"/>
      <w:sz w:val="30"/>
      <w:szCs w:val="30"/>
    </w:rPr>
  </w:style>
  <w:style w:type="paragraph" w:styleId="5">
    <w:name w:val="heading 4"/>
    <w:basedOn w:val="6"/>
    <w:next w:val="1"/>
    <w:qFormat/>
    <w:uiPriority w:val="0"/>
    <w:pPr>
      <w:ind w:left="0" w:leftChars="0" w:firstLine="0" w:firstLineChars="0"/>
    </w:pPr>
    <w:rPr>
      <w:sz w:val="32"/>
    </w:rPr>
  </w:style>
  <w:style w:type="character" w:default="1" w:styleId="20">
    <w:name w:val="Default Paragraph Font"/>
    <w:qFormat/>
    <w:uiPriority w:val="0"/>
  </w:style>
  <w:style w:type="table" w:default="1" w:styleId="1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First Indent 2"/>
    <w:basedOn w:val="7"/>
    <w:next w:val="8"/>
    <w:qFormat/>
    <w:uiPriority w:val="0"/>
    <w:pPr>
      <w:ind w:firstLine="420" w:firstLineChars="200"/>
    </w:pPr>
  </w:style>
  <w:style w:type="paragraph" w:styleId="7">
    <w:name w:val="Body Text Indent"/>
    <w:basedOn w:val="1"/>
    <w:next w:val="6"/>
    <w:qFormat/>
    <w:uiPriority w:val="0"/>
    <w:pPr>
      <w:ind w:left="-523" w:leftChars="-254" w:firstLine="471" w:firstLineChars="200"/>
    </w:pPr>
    <w:rPr>
      <w:sz w:val="24"/>
    </w:rPr>
  </w:style>
  <w:style w:type="paragraph" w:styleId="8">
    <w:name w:val="Plain Text"/>
    <w:basedOn w:val="1"/>
    <w:next w:val="9"/>
    <w:qFormat/>
    <w:uiPriority w:val="0"/>
    <w:rPr>
      <w:rFonts w:ascii="宋体" w:hAnsi="Courier New"/>
      <w:szCs w:val="21"/>
    </w:rPr>
  </w:style>
  <w:style w:type="paragraph" w:styleId="9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10">
    <w:name w:val="Normal Indent"/>
    <w:next w:val="11"/>
    <w:qFormat/>
    <w:uiPriority w:val="0"/>
    <w:pPr>
      <w:widowControl w:val="0"/>
      <w:suppressAutoHyphens/>
      <w:bidi w:val="0"/>
      <w:ind w:firstLine="420"/>
      <w:jc w:val="both"/>
    </w:pPr>
    <w:rPr>
      <w:rFonts w:ascii="Calibri" w:hAnsi="Calibri" w:eastAsia="宋体" w:cs="Times New Roman"/>
      <w:color w:val="auto"/>
      <w:kern w:val="2"/>
      <w:sz w:val="21"/>
      <w:szCs w:val="22"/>
      <w:lang w:val="en-US" w:eastAsia="zh-CN" w:bidi="ar-SA"/>
    </w:rPr>
  </w:style>
  <w:style w:type="paragraph" w:styleId="11">
    <w:name w:val="toc 8"/>
    <w:next w:val="1"/>
    <w:qFormat/>
    <w:uiPriority w:val="99"/>
    <w:pPr>
      <w:widowControl w:val="0"/>
      <w:spacing w:before="100" w:beforeAutospacing="1" w:after="100" w:afterAutospacing="1"/>
      <w:ind w:left="2940" w:leftChars="14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12">
    <w:name w:val="toc 3"/>
    <w:basedOn w:val="1"/>
    <w:next w:val="1"/>
    <w:qFormat/>
    <w:uiPriority w:val="0"/>
    <w:pPr>
      <w:ind w:left="840" w:leftChars="4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7">
    <w:name w:val="toc 2"/>
    <w:basedOn w:val="1"/>
    <w:next w:val="1"/>
    <w:qFormat/>
    <w:uiPriority w:val="0"/>
    <w:pPr>
      <w:ind w:left="420" w:leftChars="200"/>
    </w:pPr>
  </w:style>
  <w:style w:type="paragraph" w:styleId="1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21">
    <w:name w:val="footnote reference"/>
    <w:basedOn w:val="20"/>
    <w:qFormat/>
    <w:uiPriority w:val="0"/>
    <w:rPr>
      <w:vertAlign w:val="superscript"/>
    </w:rPr>
  </w:style>
  <w:style w:type="character" w:customStyle="1" w:styleId="22">
    <w:name w:val="font31"/>
    <w:basedOn w:val="2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23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4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5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6">
    <w:name w:val="标题 3 Char"/>
    <w:link w:val="4"/>
    <w:qFormat/>
    <w:uiPriority w:val="0"/>
    <w:rPr>
      <w:rFonts w:ascii="楷体" w:hAnsi="楷体" w:eastAsia="楷体" w:cs="楷体"/>
      <w:color w:val="auto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1349</Words>
  <Characters>1835</Characters>
  <Paragraphs>1898</Paragraphs>
  <TotalTime>13</TotalTime>
  <ScaleCrop>false</ScaleCrop>
  <LinksUpToDate>false</LinksUpToDate>
  <CharactersWithSpaces>1835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2026-01-29T05:05:00Z</dcterms:created>
  <dc:creator>。。。。。。</dc:creator>
  <cp:lastModifiedBy>admin</cp:lastModifiedBy>
  <cp:lastPrinted>2026-01-23T10:05:00Z</cp:lastPrinted>
  <dcterms:modified xsi:type="dcterms:W3CDTF">2026-02-05T02:54:13Z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KSOSaveFontToCloudKey">
    <vt:lpwstr>629582790_cloud</vt:lpwstr>
  </property>
  <property fmtid="{D5CDD505-2E9C-101B-9397-08002B2CF9AE}" pid="4" name="ICV">
    <vt:lpwstr>40c90708c18544f1896574fb3807c76f</vt:lpwstr>
  </property>
  <property fmtid="{D5CDD505-2E9C-101B-9397-08002B2CF9AE}" pid="5" name="KSOTemplateDocerSaveRecord">
    <vt:lpwstr>eyJoZGlkIjoiY2MxYTNjOGYzODA4ODBjYTgzNmIyOWQxM2ExNTI3MTgiLCJ1c2VySWQiOiIyNDYxMjYwNjkifQ==</vt:lpwstr>
  </property>
</Properties>
</file>