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hAnsi="Times New Roman" w:cs="Times New Roman"/>
          <w:sz w:val="20"/>
          <w:lang w:eastAsia="zh-CN"/>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spacing w:before="5"/>
        <w:rPr>
          <w:rFonts w:ascii="Times New Roman" w:hAnsi="Times New Roman" w:cs="Times New Roman"/>
          <w:b/>
          <w:bCs/>
          <w:sz w:val="27"/>
        </w:rPr>
      </w:pPr>
    </w:p>
    <w:p>
      <w:pPr>
        <w:spacing w:line="1051" w:lineRule="exact"/>
        <w:ind w:right="554"/>
        <w:jc w:val="center"/>
        <w:rPr>
          <w:rFonts w:ascii="黑体" w:hAnsi="黑体" w:eastAsia="黑体" w:cs="Times New Roman"/>
          <w:b/>
          <w:bCs/>
          <w:sz w:val="72"/>
          <w:lang w:eastAsia="zh-CN"/>
        </w:rPr>
      </w:pPr>
      <w:r>
        <w:rPr>
          <w:rFonts w:ascii="黑体" w:hAnsi="黑体" w:eastAsia="黑体" w:cs="Times New Roman"/>
          <w:b/>
          <w:bCs/>
          <w:sz w:val="72"/>
          <w:lang w:eastAsia="zh-CN"/>
        </w:rPr>
        <w:t>建设项目环境影响报告表</w:t>
      </w:r>
    </w:p>
    <w:p>
      <w:pPr>
        <w:spacing w:before="234"/>
        <w:ind w:right="553"/>
        <w:jc w:val="center"/>
        <w:rPr>
          <w:rFonts w:ascii="黑体" w:hAnsi="黑体" w:eastAsia="黑体" w:cs="Times New Roman"/>
          <w:sz w:val="48"/>
          <w:lang w:eastAsia="zh-CN"/>
        </w:rPr>
      </w:pPr>
      <w:r>
        <w:rPr>
          <w:rFonts w:ascii="黑体" w:hAnsi="黑体" w:eastAsia="黑体" w:cs="Times New Roman"/>
          <w:sz w:val="48"/>
          <w:lang w:eastAsia="zh-CN"/>
        </w:rPr>
        <w:t>（生态影响类）</w:t>
      </w:r>
    </w:p>
    <w:p>
      <w:pPr>
        <w:pStyle w:val="7"/>
        <w:rPr>
          <w:rFonts w:ascii="Times New Roman" w:hAnsi="Times New Roman" w:cs="Times New Roman"/>
          <w:sz w:val="62"/>
          <w:lang w:eastAsia="zh-CN"/>
        </w:rPr>
      </w:pPr>
    </w:p>
    <w:p>
      <w:pPr>
        <w:pStyle w:val="7"/>
        <w:rPr>
          <w:rFonts w:ascii="Times New Roman" w:hAnsi="Times New Roman" w:cs="Times New Roman"/>
          <w:sz w:val="62"/>
          <w:lang w:eastAsia="zh-CN"/>
        </w:rPr>
      </w:pPr>
    </w:p>
    <w:p>
      <w:pPr>
        <w:pStyle w:val="7"/>
        <w:spacing w:before="7"/>
        <w:rPr>
          <w:rFonts w:ascii="Times New Roman" w:hAnsi="Times New Roman" w:cs="Times New Roman"/>
          <w:sz w:val="73"/>
          <w:lang w:eastAsia="zh-CN"/>
        </w:rPr>
      </w:pPr>
    </w:p>
    <w:p>
      <w:pPr>
        <w:spacing w:before="234" w:line="400" w:lineRule="exact"/>
        <w:ind w:right="556"/>
        <w:rPr>
          <w:rFonts w:hint="default" w:ascii="Times New Roman" w:hAnsi="Times New Roman" w:cs="Times New Roman"/>
          <w:sz w:val="36"/>
          <w:szCs w:val="36"/>
          <w:u w:val="single"/>
          <w:lang w:val="en-US" w:eastAsia="zh-CN"/>
        </w:rPr>
      </w:pPr>
      <w:r>
        <w:rPr>
          <w:rFonts w:ascii="Times New Roman" w:hAnsi="Times New Roman" w:eastAsia="黑体" w:cs="Times New Roman"/>
          <w:b/>
          <w:bCs/>
          <w:sz w:val="36"/>
          <w:szCs w:val="36"/>
          <w:lang w:eastAsia="zh-CN"/>
        </w:rPr>
        <w:t>项目名称：</w:t>
      </w:r>
      <w:r>
        <w:rPr>
          <w:rFonts w:hint="eastAsia" w:ascii="Times New Roman" w:hAnsi="Times New Roman" w:eastAsia="宋体" w:cs="Times New Roman"/>
          <w:sz w:val="36"/>
          <w:szCs w:val="36"/>
          <w:u w:val="single"/>
          <w:lang w:val="en-US" w:eastAsia="zh-CN"/>
        </w:rPr>
        <w:t>新源县塔勒德镇胡尔萨依砖瓦用粘土矿</w:t>
      </w:r>
      <w:r>
        <w:rPr>
          <w:rFonts w:hint="default" w:ascii="Times New Roman" w:hAnsi="Times New Roman" w:eastAsia="宋体" w:cs="Times New Roman"/>
          <w:sz w:val="36"/>
          <w:szCs w:val="36"/>
          <w:u w:val="single"/>
          <w:lang w:val="en-US" w:eastAsia="zh-CN"/>
        </w:rPr>
        <w:t>项目</w:t>
      </w:r>
      <w:r>
        <w:rPr>
          <w:rFonts w:hint="eastAsia" w:ascii="Times New Roman" w:hAnsi="Times New Roman" w:eastAsia="宋体" w:cs="Times New Roman"/>
          <w:sz w:val="36"/>
          <w:szCs w:val="36"/>
          <w:u w:val="single"/>
          <w:lang w:val="en-US" w:eastAsia="zh-CN"/>
        </w:rPr>
        <w:t xml:space="preserve">     </w:t>
      </w:r>
    </w:p>
    <w:p>
      <w:pPr>
        <w:spacing w:before="234" w:line="400" w:lineRule="exact"/>
        <w:ind w:right="556"/>
        <w:rPr>
          <w:rFonts w:ascii="Times New Roman" w:hAnsi="Times New Roman" w:eastAsia="微软雅黑" w:cs="Times New Roman"/>
          <w:sz w:val="36"/>
          <w:szCs w:val="36"/>
          <w:lang w:eastAsia="zh-CN"/>
        </w:rPr>
      </w:pPr>
      <w:r>
        <w:rPr>
          <w:rFonts w:ascii="Times New Roman" w:hAnsi="Times New Roman" w:eastAsia="黑体" w:cs="Times New Roman"/>
          <w:b/>
          <w:bCs/>
          <w:sz w:val="36"/>
          <w:szCs w:val="36"/>
          <w:lang w:eastAsia="zh-CN"/>
        </w:rPr>
        <w:t>建设单位（盖章）：</w:t>
      </w:r>
      <w:r>
        <w:rPr>
          <w:rFonts w:hint="eastAsia" w:ascii="Times New Roman" w:hAnsi="Times New Roman" w:cs="Times New Roman"/>
          <w:sz w:val="36"/>
          <w:szCs w:val="36"/>
          <w:u w:val="single"/>
          <w:lang w:val="en-US" w:eastAsia="zh-CN"/>
        </w:rPr>
        <w:t>新疆澜啸商贸有限公司新源县分公司</w:t>
      </w:r>
      <w:r>
        <w:rPr>
          <w:rFonts w:ascii="Times New Roman" w:hAnsi="Times New Roman" w:eastAsia="宋体" w:cs="Times New Roman"/>
          <w:sz w:val="36"/>
          <w:szCs w:val="36"/>
          <w:u w:val="single"/>
          <w:lang w:eastAsia="zh-CN"/>
        </w:rPr>
        <w:t xml:space="preserve">   </w:t>
      </w:r>
      <w:r>
        <w:rPr>
          <w:rFonts w:ascii="Times New Roman" w:hAnsi="Times New Roman" w:cs="Times New Roman"/>
          <w:sz w:val="36"/>
          <w:szCs w:val="36"/>
          <w:u w:val="single"/>
          <w:lang w:eastAsia="zh-CN"/>
        </w:rPr>
        <w:t xml:space="preserve">                      </w:t>
      </w:r>
    </w:p>
    <w:p>
      <w:pPr>
        <w:spacing w:before="234" w:line="400" w:lineRule="exact"/>
        <w:ind w:right="556"/>
        <w:rPr>
          <w:rFonts w:ascii="Times New Roman" w:hAnsi="Times New Roman" w:eastAsia="微软雅黑" w:cs="Times New Roman"/>
          <w:sz w:val="36"/>
          <w:szCs w:val="36"/>
          <w:lang w:eastAsia="zh-CN"/>
        </w:rPr>
      </w:pPr>
      <w:r>
        <w:rPr>
          <w:rFonts w:ascii="Times New Roman" w:hAnsi="Times New Roman" w:eastAsia="黑体" w:cs="Times New Roman"/>
          <w:b/>
          <w:bCs/>
          <w:sz w:val="36"/>
          <w:szCs w:val="36"/>
          <w:lang w:eastAsia="zh-CN"/>
        </w:rPr>
        <w:t>编制日期：</w:t>
      </w:r>
      <w:r>
        <w:rPr>
          <w:rFonts w:ascii="Times New Roman" w:hAnsi="Times New Roman" w:eastAsia="微软雅黑" w:cs="Times New Roman"/>
          <w:sz w:val="36"/>
          <w:szCs w:val="36"/>
          <w:u w:val="single"/>
          <w:lang w:eastAsia="zh-CN"/>
        </w:rPr>
        <w:t xml:space="preserve">                      </w:t>
      </w:r>
      <w:r>
        <w:rPr>
          <w:rFonts w:ascii="Times New Roman" w:hAnsi="Times New Roman" w:cs="Times New Roman"/>
          <w:sz w:val="36"/>
          <w:szCs w:val="36"/>
          <w:u w:val="single"/>
          <w:lang w:eastAsia="zh-CN"/>
        </w:rPr>
        <w:t>202</w:t>
      </w:r>
      <w:r>
        <w:rPr>
          <w:rFonts w:hint="eastAsia" w:ascii="Times New Roman" w:hAnsi="Times New Roman" w:cs="Times New Roman"/>
          <w:sz w:val="36"/>
          <w:szCs w:val="36"/>
          <w:u w:val="single"/>
          <w:lang w:val="en-US" w:eastAsia="zh-CN"/>
        </w:rPr>
        <w:t>3</w:t>
      </w:r>
      <w:r>
        <w:rPr>
          <w:rFonts w:ascii="Times New Roman" w:hAnsi="Times New Roman" w:cs="Times New Roman"/>
          <w:sz w:val="36"/>
          <w:szCs w:val="36"/>
          <w:u w:val="single"/>
          <w:lang w:eastAsia="zh-CN"/>
        </w:rPr>
        <w:t>年</w:t>
      </w:r>
      <w:r>
        <w:rPr>
          <w:rFonts w:hint="eastAsia" w:ascii="Times New Roman" w:hAnsi="Times New Roman" w:cs="Times New Roman"/>
          <w:sz w:val="36"/>
          <w:szCs w:val="36"/>
          <w:u w:val="single"/>
          <w:lang w:val="en-US" w:eastAsia="zh-CN"/>
        </w:rPr>
        <w:t>9</w:t>
      </w:r>
      <w:r>
        <w:rPr>
          <w:rFonts w:ascii="Times New Roman" w:hAnsi="Times New Roman" w:cs="Times New Roman"/>
          <w:sz w:val="36"/>
          <w:szCs w:val="36"/>
          <w:u w:val="single"/>
          <w:lang w:eastAsia="zh-CN"/>
        </w:rPr>
        <w:t>月</w:t>
      </w:r>
      <w:r>
        <w:rPr>
          <w:rFonts w:ascii="Times New Roman" w:hAnsi="Times New Roman" w:eastAsia="微软雅黑" w:cs="Times New Roman"/>
          <w:sz w:val="36"/>
          <w:szCs w:val="36"/>
          <w:u w:val="single"/>
          <w:lang w:eastAsia="zh-CN"/>
        </w:rPr>
        <w:t xml:space="preserve">                 </w:t>
      </w:r>
      <w:r>
        <w:rPr>
          <w:rFonts w:hint="eastAsia" w:ascii="Times New Roman" w:hAnsi="Times New Roman" w:eastAsia="微软雅黑" w:cs="Times New Roman"/>
          <w:sz w:val="36"/>
          <w:szCs w:val="36"/>
          <w:u w:val="single"/>
          <w:lang w:val="en-US" w:eastAsia="zh-CN"/>
        </w:rPr>
        <w:t xml:space="preserve">                    </w:t>
      </w:r>
      <w:r>
        <w:rPr>
          <w:rFonts w:ascii="Times New Roman" w:hAnsi="Times New Roman" w:eastAsia="微软雅黑" w:cs="Times New Roman"/>
          <w:sz w:val="36"/>
          <w:szCs w:val="36"/>
          <w:u w:val="single"/>
          <w:lang w:eastAsia="zh-CN"/>
        </w:rPr>
        <w:t xml:space="preserve">    </w:t>
      </w: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jc w:val="center"/>
        <w:rPr>
          <w:rFonts w:ascii="黑体" w:hAnsi="黑体" w:eastAsia="黑体" w:cs="Times New Roman"/>
          <w:b/>
          <w:bCs/>
          <w:sz w:val="36"/>
          <w:lang w:eastAsia="zh-CN"/>
        </w:rPr>
      </w:pPr>
      <w:r>
        <w:rPr>
          <w:rFonts w:ascii="黑体" w:hAnsi="黑体" w:eastAsia="黑体" w:cs="Times New Roman"/>
          <w:b/>
          <w:bCs/>
          <w:sz w:val="36"/>
          <w:lang w:eastAsia="zh-CN"/>
        </w:rPr>
        <w:t>中华人民共和国生态环境部制</w:t>
      </w:r>
    </w:p>
    <w:p>
      <w:pPr>
        <w:jc w:val="center"/>
        <w:rPr>
          <w:rFonts w:ascii="Times New Roman" w:hAnsi="Times New Roman" w:eastAsia="微软雅黑" w:cs="Times New Roman"/>
          <w:sz w:val="36"/>
          <w:lang w:eastAsia="zh-CN"/>
        </w:rPr>
        <w:sectPr>
          <w:footerReference r:id="rId5" w:type="first"/>
          <w:footerReference r:id="rId3" w:type="default"/>
          <w:footerReference r:id="rId4" w:type="even"/>
          <w:type w:val="nextColumn"/>
          <w:pgSz w:w="11913" w:h="16840"/>
          <w:pgMar w:top="1134" w:right="1134" w:bottom="1134" w:left="1134" w:header="0" w:footer="1043" w:gutter="0"/>
          <w:pgBorders>
            <w:top w:val="none" w:sz="0" w:space="0"/>
            <w:left w:val="none" w:sz="0" w:space="0"/>
            <w:bottom w:val="none" w:sz="0" w:space="0"/>
            <w:right w:val="none" w:sz="0" w:space="0"/>
          </w:pgBorders>
          <w:cols w:space="720" w:num="1"/>
          <w:titlePg/>
          <w:docGrid w:linePitch="299" w:charSpace="0"/>
        </w:sectPr>
      </w:pPr>
    </w:p>
    <w:p>
      <w:pPr>
        <w:pStyle w:val="7"/>
        <w:spacing w:before="8"/>
        <w:ind w:left="3033"/>
        <w:rPr>
          <w:rFonts w:ascii="Times New Roman" w:hAnsi="Times New Roman" w:cs="Times New Roman"/>
          <w:b/>
          <w:bCs/>
          <w:lang w:eastAsia="zh-CN"/>
        </w:rPr>
      </w:pPr>
      <w:r>
        <w:rPr>
          <w:rFonts w:ascii="Times New Roman" w:hAnsi="Times New Roman" w:cs="Times New Roman"/>
          <w:b/>
          <w:bCs/>
          <w:lang w:eastAsia="zh-CN"/>
        </w:rPr>
        <w:t>一、建设项目基本情况</w:t>
      </w:r>
    </w:p>
    <w:tbl>
      <w:tblPr>
        <w:tblStyle w:val="16"/>
        <w:tblW w:w="970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0"/>
        <w:gridCol w:w="1598"/>
        <w:gridCol w:w="2190"/>
        <w:gridCol w:w="2261"/>
        <w:gridCol w:w="28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2388" w:type="dxa"/>
            <w:gridSpan w:val="2"/>
            <w:tcBorders>
              <w:bottom w:val="single" w:color="000000" w:sz="4" w:space="0"/>
              <w:right w:val="single" w:color="000000" w:sz="4" w:space="0"/>
            </w:tcBorders>
            <w:vAlign w:val="center"/>
          </w:tcPr>
          <w:p>
            <w:pPr>
              <w:pStyle w:val="18"/>
              <w:ind w:right="142"/>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建设项目名称</w:t>
            </w:r>
          </w:p>
        </w:tc>
        <w:tc>
          <w:tcPr>
            <w:tcW w:w="7316" w:type="dxa"/>
            <w:gridSpan w:val="3"/>
            <w:tcBorders>
              <w:left w:val="single" w:color="000000" w:sz="4" w:space="0"/>
              <w:bottom w:val="single" w:color="000000" w:sz="4" w:space="0"/>
            </w:tcBorders>
            <w:vAlign w:val="center"/>
          </w:tcPr>
          <w:p>
            <w:pPr>
              <w:pStyle w:val="18"/>
              <w:ind w:right="142"/>
              <w:jc w:val="center"/>
              <w:rPr>
                <w:rFonts w:ascii="Times New Roman" w:hAnsi="Times New Roman"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新源县塔勒德镇胡尔萨依砖瓦用粘土矿</w:t>
            </w:r>
            <w:r>
              <w:rPr>
                <w:rFonts w:hint="default" w:ascii="Times New Roman" w:hAnsi="Times New Roman" w:eastAsia="宋体" w:cs="Times New Roman"/>
                <w:color w:val="auto"/>
                <w:sz w:val="21"/>
                <w:szCs w:val="21"/>
                <w:highlight w:val="none"/>
                <w:lang w:val="en-US" w:eastAsia="zh-CN"/>
              </w:rPr>
              <w:t>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项目代码</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6"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建设单位联系人</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u w:val="none"/>
                <w:lang w:val="en-US" w:eastAsia="zh-CN" w:bidi="ar-SA"/>
              </w:rPr>
              <w:t>吴成海</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联系方式</w:t>
            </w:r>
          </w:p>
        </w:tc>
        <w:tc>
          <w:tcPr>
            <w:tcW w:w="2865" w:type="dxa"/>
            <w:tcBorders>
              <w:top w:val="single" w:color="000000" w:sz="4" w:space="0"/>
              <w:left w:val="single" w:color="000000" w:sz="4" w:space="0"/>
              <w:bottom w:val="single" w:color="000000" w:sz="4" w:space="0"/>
            </w:tcBorders>
            <w:vAlign w:val="center"/>
          </w:tcPr>
          <w:p>
            <w:pPr>
              <w:jc w:val="center"/>
              <w:rPr>
                <w:rFonts w:ascii="Times New Roman" w:hAnsi="Times New Roman" w:cs="Times New Roman"/>
                <w:color w:val="auto"/>
                <w:sz w:val="21"/>
                <w:szCs w:val="21"/>
                <w:highlight w:val="none"/>
              </w:rPr>
            </w:pPr>
            <w:r>
              <w:rPr>
                <w:rFonts w:hint="eastAsia" w:ascii="Times New Roman" w:hAnsi="Times New Roman" w:cs="Times New Roman"/>
                <w:b w:val="0"/>
                <w:bCs w:val="0"/>
                <w:color w:val="auto"/>
                <w:sz w:val="24"/>
                <w:szCs w:val="24"/>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u w:val="none"/>
              </w:rPr>
            </w:pPr>
            <w:r>
              <w:rPr>
                <w:rFonts w:ascii="Times New Roman" w:hAnsi="Times New Roman" w:cs="Times New Roman"/>
                <w:b/>
                <w:bCs/>
                <w:color w:val="auto"/>
                <w:sz w:val="21"/>
                <w:szCs w:val="21"/>
                <w:highlight w:val="none"/>
                <w:u w:val="none"/>
              </w:rPr>
              <w:t>建设地点</w:t>
            </w:r>
          </w:p>
        </w:tc>
        <w:tc>
          <w:tcPr>
            <w:tcW w:w="7316" w:type="dxa"/>
            <w:gridSpan w:val="3"/>
            <w:tcBorders>
              <w:top w:val="single" w:color="000000" w:sz="4" w:space="0"/>
              <w:left w:val="single" w:color="000000" w:sz="4" w:space="0"/>
              <w:bottom w:val="single" w:color="000000" w:sz="4" w:space="0"/>
            </w:tcBorders>
          </w:tcPr>
          <w:p>
            <w:pPr>
              <w:keepNext w:val="0"/>
              <w:keepLines w:val="0"/>
              <w:widowControl/>
              <w:suppressLineNumbers w:val="0"/>
              <w:jc w:val="center"/>
              <w:rPr>
                <w:rFonts w:ascii="Times New Roman" w:hAnsi="Times New Roman" w:cs="Times New Roman"/>
                <w:color w:val="auto"/>
                <w:sz w:val="21"/>
                <w:szCs w:val="21"/>
                <w:highlight w:val="none"/>
                <w:u w:val="none"/>
                <w:lang w:eastAsia="zh-CN"/>
              </w:rPr>
            </w:pPr>
            <w:r>
              <w:rPr>
                <w:rFonts w:hint="eastAsia" w:ascii="Times New Roman" w:hAnsi="Times New Roman" w:eastAsia="宋体" w:cs="Times New Roman"/>
                <w:color w:val="auto"/>
                <w:sz w:val="21"/>
                <w:szCs w:val="21"/>
                <w:highlight w:val="none"/>
                <w:u w:val="none"/>
                <w:lang w:val="en-US" w:eastAsia="zh-CN" w:bidi="ar-SA"/>
              </w:rPr>
              <w:t>伊犁州新源县塔勒德镇新源县2</w:t>
            </w:r>
            <w:r>
              <w:rPr>
                <w:rFonts w:hint="eastAsia" w:ascii="Times New Roman" w:hAnsi="Times New Roman" w:cs="Times New Roman"/>
                <w:color w:val="auto"/>
                <w:sz w:val="21"/>
                <w:szCs w:val="21"/>
                <w:highlight w:val="none"/>
                <w:u w:val="none"/>
                <w:lang w:val="en-US" w:eastAsia="zh-CN" w:bidi="ar-SA"/>
              </w:rPr>
              <w:t>66</w:t>
            </w:r>
            <w:r>
              <w:rPr>
                <w:rFonts w:hint="eastAsia" w:ascii="Times New Roman" w:hAnsi="Times New Roman" w:eastAsia="宋体" w:cs="Times New Roman"/>
                <w:color w:val="auto"/>
                <w:sz w:val="21"/>
                <w:szCs w:val="21"/>
                <w:highlight w:val="none"/>
                <w:u w:val="none"/>
                <w:lang w:val="en-US" w:eastAsia="zh-CN" w:bidi="ar-SA"/>
              </w:rPr>
              <w:t>°方位约</w:t>
            </w:r>
            <w:r>
              <w:rPr>
                <w:rFonts w:hint="eastAsia" w:ascii="Times New Roman" w:hAnsi="Times New Roman" w:cs="Times New Roman"/>
                <w:color w:val="auto"/>
                <w:sz w:val="21"/>
                <w:szCs w:val="21"/>
                <w:highlight w:val="none"/>
                <w:u w:val="none"/>
                <w:lang w:val="en-US" w:eastAsia="zh-CN" w:bidi="ar-SA"/>
              </w:rPr>
              <w:t>22</w:t>
            </w:r>
            <w:r>
              <w:rPr>
                <w:rFonts w:hint="eastAsia" w:ascii="Times New Roman" w:hAnsi="Times New Roman" w:eastAsia="宋体" w:cs="Times New Roman"/>
                <w:color w:val="auto"/>
                <w:sz w:val="21"/>
                <w:szCs w:val="21"/>
                <w:highlight w:val="none"/>
                <w:u w:val="none"/>
                <w:lang w:val="en-US" w:eastAsia="zh-CN" w:bidi="ar-SA"/>
              </w:rPr>
              <w:t>km处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地理坐标</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color w:val="auto"/>
                <w:sz w:val="21"/>
                <w:szCs w:val="21"/>
                <w:highlight w:val="none"/>
                <w:lang w:eastAsia="zh-CN"/>
              </w:rPr>
            </w:pPr>
            <w:r>
              <w:rPr>
                <w:rFonts w:hint="eastAsia" w:ascii="Times New Roman" w:hAnsi="Times New Roman" w:cs="Times New Roman"/>
                <w:b w:val="0"/>
                <w:bCs w:val="0"/>
                <w:color w:val="auto"/>
                <w:sz w:val="21"/>
                <w:szCs w:val="21"/>
                <w:highlight w:val="none"/>
                <w:lang w:val="en-US" w:eastAsia="zh-CN"/>
              </w:rPr>
              <w:t>东经82°59′17.500″，北纬43°24′47.250″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建设项目行业类别</w:t>
            </w:r>
          </w:p>
        </w:tc>
        <w:tc>
          <w:tcPr>
            <w:tcW w:w="2190"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八、非金属矿采选业—</w:t>
            </w:r>
            <w:r>
              <w:rPr>
                <w:rFonts w:ascii="Times New Roman" w:hAnsi="Times New Roman" w:cs="Times New Roman"/>
                <w:color w:val="auto"/>
                <w:sz w:val="21"/>
                <w:szCs w:val="21"/>
                <w:highlight w:val="none"/>
                <w:lang w:eastAsia="zh-CN"/>
              </w:rPr>
              <w:t>11土砂石开采（不含河道采砂项目）—其他</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用地（用海）面积（m</w:t>
            </w:r>
            <w:r>
              <w:rPr>
                <w:rFonts w:ascii="Times New Roman" w:hAnsi="Times New Roman" w:cs="Times New Roman"/>
                <w:b/>
                <w:bCs/>
                <w:color w:val="auto"/>
                <w:position w:val="11"/>
                <w:sz w:val="21"/>
                <w:szCs w:val="21"/>
                <w:highlight w:val="none"/>
                <w:lang w:eastAsia="zh-CN"/>
              </w:rPr>
              <w:t>2</w:t>
            </w:r>
            <w:r>
              <w:rPr>
                <w:rFonts w:ascii="Times New Roman" w:hAnsi="Times New Roman" w:cs="Times New Roman"/>
                <w:b/>
                <w:bCs/>
                <w:color w:val="auto"/>
                <w:sz w:val="21"/>
                <w:szCs w:val="21"/>
                <w:highlight w:val="none"/>
                <w:lang w:eastAsia="zh-CN"/>
              </w:rPr>
              <w:t>）/长度（km）</w:t>
            </w:r>
          </w:p>
        </w:tc>
        <w:tc>
          <w:tcPr>
            <w:tcW w:w="2865" w:type="dxa"/>
            <w:tcBorders>
              <w:top w:val="single" w:color="000000" w:sz="4" w:space="0"/>
              <w:left w:val="single" w:color="000000" w:sz="4" w:space="0"/>
              <w:bottom w:val="single" w:color="000000" w:sz="4" w:space="0"/>
            </w:tcBorders>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226</w:t>
            </w:r>
            <w:r>
              <w:rPr>
                <w:rFonts w:ascii="Times New Roman" w:hAnsi="Times New Roman" w:cs="Times New Roman"/>
                <w:color w:val="auto"/>
                <w:sz w:val="21"/>
                <w:szCs w:val="21"/>
                <w:highlight w:val="none"/>
                <w:lang w:eastAsia="zh-CN"/>
              </w:rPr>
              <w:t>00</w:t>
            </w:r>
            <w:r>
              <w:rPr>
                <w:rFonts w:hint="eastAsia" w:ascii="Times New Roman" w:hAnsi="Times New Roman" w:cs="Times New Roman"/>
                <w:color w:val="auto"/>
                <w:sz w:val="21"/>
                <w:szCs w:val="21"/>
                <w:highlight w:val="none"/>
                <w:lang w:eastAsia="zh-CN"/>
              </w:rPr>
              <w:t>（临时占地）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1"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建设性质</w:t>
            </w:r>
          </w:p>
        </w:tc>
        <w:tc>
          <w:tcPr>
            <w:tcW w:w="2190" w:type="dxa"/>
            <w:tcBorders>
              <w:top w:val="single" w:color="000000" w:sz="4" w:space="0"/>
              <w:left w:val="single" w:color="000000" w:sz="4" w:space="0"/>
              <w:bottom w:val="single" w:color="000000" w:sz="4" w:space="0"/>
              <w:right w:val="single" w:color="000000" w:sz="4" w:space="0"/>
            </w:tcBorders>
          </w:tcPr>
          <w:p>
            <w:pPr>
              <w:pStyle w:val="18"/>
              <w:spacing w:line="255" w:lineRule="exact"/>
              <w:ind w:left="-1"/>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  新建</w:t>
            </w:r>
          </w:p>
          <w:p>
            <w:pPr>
              <w:pStyle w:val="18"/>
              <w:spacing w:line="272" w:lineRule="exact"/>
              <w:ind w:left="-1"/>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  改建</w:t>
            </w:r>
          </w:p>
          <w:p>
            <w:pPr>
              <w:pStyle w:val="18"/>
              <w:spacing w:line="272" w:lineRule="exact"/>
              <w:ind w:left="-1"/>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  扩建</w:t>
            </w:r>
          </w:p>
          <w:p>
            <w:pPr>
              <w:pStyle w:val="18"/>
              <w:spacing w:line="274" w:lineRule="exact"/>
              <w:ind w:left="-1"/>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  技术改造</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建设项目申报情形</w:t>
            </w:r>
          </w:p>
        </w:tc>
        <w:tc>
          <w:tcPr>
            <w:tcW w:w="2865" w:type="dxa"/>
            <w:tcBorders>
              <w:top w:val="single" w:color="000000" w:sz="4" w:space="0"/>
              <w:left w:val="single" w:color="000000" w:sz="4" w:space="0"/>
              <w:bottom w:val="single" w:color="000000" w:sz="4" w:space="0"/>
            </w:tcBorders>
          </w:tcPr>
          <w:p>
            <w:pPr>
              <w:pStyle w:val="18"/>
              <w:spacing w:line="255" w:lineRule="exact"/>
              <w:ind w:left="-5"/>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√首次申报项目</w:t>
            </w:r>
          </w:p>
          <w:p>
            <w:pPr>
              <w:pStyle w:val="18"/>
              <w:spacing w:line="272" w:lineRule="exact"/>
              <w:ind w:left="-5"/>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□不予批准后再次申报项目</w:t>
            </w:r>
          </w:p>
          <w:p>
            <w:pPr>
              <w:pStyle w:val="18"/>
              <w:spacing w:line="272" w:lineRule="exact"/>
              <w:ind w:left="-5"/>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□超五年重新审核项目</w:t>
            </w:r>
          </w:p>
          <w:p>
            <w:pPr>
              <w:pStyle w:val="18"/>
              <w:spacing w:line="274" w:lineRule="exact"/>
              <w:ind w:left="-5"/>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□重大变动重新报批项目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8"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26"/>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pacing w:val="-1"/>
                <w:sz w:val="21"/>
                <w:szCs w:val="21"/>
                <w:highlight w:val="none"/>
                <w:lang w:eastAsia="zh-CN"/>
              </w:rPr>
              <w:t>项目审批</w:t>
            </w:r>
            <w:r>
              <w:rPr>
                <w:rFonts w:ascii="Times New Roman" w:hAnsi="Times New Roman" w:cs="Times New Roman"/>
                <w:b/>
                <w:bCs/>
                <w:color w:val="auto"/>
                <w:spacing w:val="-3"/>
                <w:sz w:val="21"/>
                <w:szCs w:val="21"/>
                <w:highlight w:val="none"/>
                <w:lang w:eastAsia="zh-CN"/>
              </w:rPr>
              <w:t>（</w:t>
            </w:r>
            <w:r>
              <w:rPr>
                <w:rFonts w:ascii="Times New Roman" w:hAnsi="Times New Roman" w:cs="Times New Roman"/>
                <w:b/>
                <w:bCs/>
                <w:color w:val="auto"/>
                <w:spacing w:val="-2"/>
                <w:sz w:val="21"/>
                <w:szCs w:val="21"/>
                <w:highlight w:val="none"/>
                <w:lang w:eastAsia="zh-CN"/>
              </w:rPr>
              <w:t>核准</w:t>
            </w:r>
            <w:r>
              <w:rPr>
                <w:rFonts w:ascii="Times New Roman" w:hAnsi="Times New Roman" w:cs="Times New Roman"/>
                <w:b/>
                <w:bCs/>
                <w:color w:val="auto"/>
                <w:spacing w:val="-3"/>
                <w:sz w:val="21"/>
                <w:szCs w:val="21"/>
                <w:highlight w:val="none"/>
                <w:lang w:eastAsia="zh-CN"/>
              </w:rPr>
              <w:t xml:space="preserve">/ </w:t>
            </w:r>
            <w:r>
              <w:rPr>
                <w:rFonts w:ascii="Times New Roman" w:hAnsi="Times New Roman" w:cs="Times New Roman"/>
                <w:b/>
                <w:bCs/>
                <w:color w:val="auto"/>
                <w:sz w:val="21"/>
                <w:szCs w:val="21"/>
                <w:highlight w:val="none"/>
                <w:lang w:eastAsia="zh-CN"/>
              </w:rPr>
              <w:t>备案</w:t>
            </w:r>
            <w:r>
              <w:rPr>
                <w:rFonts w:ascii="Times New Roman" w:hAnsi="Times New Roman" w:cs="Times New Roman"/>
                <w:b/>
                <w:bCs/>
                <w:color w:val="auto"/>
                <w:spacing w:val="-3"/>
                <w:sz w:val="21"/>
                <w:szCs w:val="21"/>
                <w:highlight w:val="none"/>
                <w:lang w:eastAsia="zh-CN"/>
              </w:rPr>
              <w:t>）</w:t>
            </w:r>
            <w:r>
              <w:rPr>
                <w:rFonts w:ascii="Times New Roman" w:hAnsi="Times New Roman" w:cs="Times New Roman"/>
                <w:b/>
                <w:bCs/>
                <w:color w:val="auto"/>
                <w:spacing w:val="-2"/>
                <w:sz w:val="21"/>
                <w:szCs w:val="21"/>
                <w:highlight w:val="none"/>
                <w:lang w:eastAsia="zh-CN"/>
              </w:rPr>
              <w:t>部门</w:t>
            </w:r>
            <w:r>
              <w:rPr>
                <w:rFonts w:ascii="Times New Roman" w:hAnsi="Times New Roman" w:cs="Times New Roman"/>
                <w:b/>
                <w:bCs/>
                <w:color w:val="auto"/>
                <w:sz w:val="21"/>
                <w:szCs w:val="21"/>
                <w:highlight w:val="none"/>
                <w:lang w:eastAsia="zh-CN"/>
              </w:rPr>
              <w:t>（</w:t>
            </w:r>
            <w:r>
              <w:rPr>
                <w:rFonts w:ascii="Times New Roman" w:hAnsi="Times New Roman" w:cs="Times New Roman"/>
                <w:b/>
                <w:bCs/>
                <w:color w:val="auto"/>
                <w:spacing w:val="-2"/>
                <w:sz w:val="21"/>
                <w:szCs w:val="21"/>
                <w:highlight w:val="none"/>
                <w:lang w:eastAsia="zh-CN"/>
              </w:rPr>
              <w:t>选填</w:t>
            </w:r>
            <w:r>
              <w:rPr>
                <w:rFonts w:ascii="Times New Roman" w:hAnsi="Times New Roman" w:cs="Times New Roman"/>
                <w:b/>
                <w:bCs/>
                <w:color w:val="auto"/>
                <w:spacing w:val="-3"/>
                <w:sz w:val="21"/>
                <w:szCs w:val="21"/>
                <w:highlight w:val="none"/>
                <w:lang w:eastAsia="zh-CN"/>
              </w:rPr>
              <w:t>）</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无</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26"/>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pacing w:val="-1"/>
                <w:sz w:val="21"/>
                <w:szCs w:val="21"/>
                <w:highlight w:val="none"/>
                <w:lang w:eastAsia="zh-CN"/>
              </w:rPr>
              <w:t>项目审批</w:t>
            </w:r>
            <w:r>
              <w:rPr>
                <w:rFonts w:ascii="Times New Roman" w:hAnsi="Times New Roman" w:cs="Times New Roman"/>
                <w:b/>
                <w:bCs/>
                <w:color w:val="auto"/>
                <w:spacing w:val="-3"/>
                <w:sz w:val="21"/>
                <w:szCs w:val="21"/>
                <w:highlight w:val="none"/>
                <w:lang w:eastAsia="zh-CN"/>
              </w:rPr>
              <w:t>（</w:t>
            </w:r>
            <w:r>
              <w:rPr>
                <w:rFonts w:ascii="Times New Roman" w:hAnsi="Times New Roman" w:cs="Times New Roman"/>
                <w:b/>
                <w:bCs/>
                <w:color w:val="auto"/>
                <w:spacing w:val="-2"/>
                <w:sz w:val="21"/>
                <w:szCs w:val="21"/>
                <w:highlight w:val="none"/>
                <w:lang w:eastAsia="zh-CN"/>
              </w:rPr>
              <w:t>核准</w:t>
            </w:r>
            <w:r>
              <w:rPr>
                <w:rFonts w:ascii="Times New Roman" w:hAnsi="Times New Roman" w:cs="Times New Roman"/>
                <w:b/>
                <w:bCs/>
                <w:color w:val="auto"/>
                <w:spacing w:val="-3"/>
                <w:sz w:val="21"/>
                <w:szCs w:val="21"/>
                <w:highlight w:val="none"/>
                <w:lang w:eastAsia="zh-CN"/>
              </w:rPr>
              <w:t xml:space="preserve">/ </w:t>
            </w:r>
            <w:r>
              <w:rPr>
                <w:rFonts w:ascii="Times New Roman" w:hAnsi="Times New Roman" w:cs="Times New Roman"/>
                <w:b/>
                <w:bCs/>
                <w:color w:val="auto"/>
                <w:sz w:val="21"/>
                <w:szCs w:val="21"/>
                <w:highlight w:val="none"/>
                <w:lang w:eastAsia="zh-CN"/>
              </w:rPr>
              <w:t>备案</w:t>
            </w:r>
            <w:r>
              <w:rPr>
                <w:rFonts w:ascii="Times New Roman" w:hAnsi="Times New Roman" w:cs="Times New Roman"/>
                <w:b/>
                <w:bCs/>
                <w:color w:val="auto"/>
                <w:spacing w:val="-3"/>
                <w:sz w:val="21"/>
                <w:szCs w:val="21"/>
                <w:highlight w:val="none"/>
                <w:lang w:eastAsia="zh-CN"/>
              </w:rPr>
              <w:t>）</w:t>
            </w:r>
            <w:r>
              <w:rPr>
                <w:rFonts w:ascii="Times New Roman" w:hAnsi="Times New Roman" w:cs="Times New Roman"/>
                <w:b/>
                <w:bCs/>
                <w:color w:val="auto"/>
                <w:spacing w:val="-2"/>
                <w:sz w:val="21"/>
                <w:szCs w:val="21"/>
                <w:highlight w:val="none"/>
                <w:lang w:eastAsia="zh-CN"/>
              </w:rPr>
              <w:t>文号</w:t>
            </w:r>
            <w:r>
              <w:rPr>
                <w:rFonts w:ascii="Times New Roman" w:hAnsi="Times New Roman" w:cs="Times New Roman"/>
                <w:b/>
                <w:bCs/>
                <w:color w:val="auto"/>
                <w:sz w:val="21"/>
                <w:szCs w:val="21"/>
                <w:highlight w:val="none"/>
                <w:lang w:eastAsia="zh-CN"/>
              </w:rPr>
              <w:t>（</w:t>
            </w:r>
            <w:r>
              <w:rPr>
                <w:rFonts w:ascii="Times New Roman" w:hAnsi="Times New Roman" w:cs="Times New Roman"/>
                <w:b/>
                <w:bCs/>
                <w:color w:val="auto"/>
                <w:spacing w:val="-2"/>
                <w:sz w:val="21"/>
                <w:szCs w:val="21"/>
                <w:highlight w:val="none"/>
                <w:lang w:eastAsia="zh-CN"/>
              </w:rPr>
              <w:t>选填</w:t>
            </w:r>
            <w:r>
              <w:rPr>
                <w:rFonts w:ascii="Times New Roman" w:hAnsi="Times New Roman" w:cs="Times New Roman"/>
                <w:b/>
                <w:bCs/>
                <w:color w:val="auto"/>
                <w:spacing w:val="-3"/>
                <w:sz w:val="21"/>
                <w:szCs w:val="21"/>
                <w:highlight w:val="none"/>
                <w:lang w:eastAsia="zh-CN"/>
              </w:rPr>
              <w:t>）</w:t>
            </w:r>
          </w:p>
        </w:tc>
        <w:tc>
          <w:tcPr>
            <w:tcW w:w="2865" w:type="dxa"/>
            <w:tcBorders>
              <w:top w:val="single" w:color="000000" w:sz="4" w:space="0"/>
              <w:left w:val="single" w:color="000000" w:sz="4" w:space="0"/>
              <w:bottom w:val="single" w:color="000000" w:sz="4" w:space="0"/>
            </w:tcBorders>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9"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总投资（万元）</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947.96</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99"/>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环保投资（万元）</w:t>
            </w:r>
          </w:p>
        </w:tc>
        <w:tc>
          <w:tcPr>
            <w:tcW w:w="2865" w:type="dxa"/>
            <w:tcBorders>
              <w:top w:val="single" w:color="000000" w:sz="4" w:space="0"/>
              <w:left w:val="single" w:color="000000" w:sz="4" w:space="0"/>
              <w:bottom w:val="single" w:color="000000" w:sz="4" w:space="0"/>
            </w:tcBorders>
            <w:vAlign w:val="center"/>
          </w:tcPr>
          <w:p>
            <w:pPr>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环保投资占比（%）</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2.65</w:t>
            </w:r>
            <w:r>
              <w:rPr>
                <w:rFonts w:ascii="Times New Roman" w:hAnsi="Times New Roman" w:cs="Times New Roman"/>
                <w:color w:val="auto"/>
                <w:sz w:val="21"/>
                <w:szCs w:val="21"/>
                <w:highlight w:val="none"/>
                <w:lang w:eastAsia="zh-CN"/>
              </w:rPr>
              <w:t>%</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98"/>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施工工期</w:t>
            </w:r>
          </w:p>
        </w:tc>
        <w:tc>
          <w:tcPr>
            <w:tcW w:w="2865" w:type="dxa"/>
            <w:tcBorders>
              <w:top w:val="single" w:color="000000" w:sz="4" w:space="0"/>
              <w:left w:val="single" w:color="000000" w:sz="4" w:space="0"/>
              <w:bottom w:val="single" w:color="000000" w:sz="4" w:space="0"/>
            </w:tcBorders>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是否开工建设</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lang w:eastAsia="zh-CN"/>
              </w:rPr>
              <w:fldChar w:fldCharType="begin"/>
            </w:r>
            <w:r>
              <w:rPr>
                <w:rFonts w:ascii="Times New Roman" w:hAnsi="Times New Roman" w:cs="Times New Roman"/>
                <w:color w:val="auto"/>
                <w:sz w:val="21"/>
                <w:szCs w:val="21"/>
                <w:highlight w:val="none"/>
                <w:lang w:eastAsia="zh-CN"/>
              </w:rPr>
              <w:instrText xml:space="preserve"> eq \o\ac(</w:instrText>
            </w:r>
            <w:r>
              <w:rPr>
                <w:rFonts w:ascii="Times New Roman" w:hAnsi="Times New Roman" w:cs="Times New Roman"/>
                <w:color w:val="auto"/>
                <w:position w:val="-4"/>
                <w:sz w:val="31"/>
                <w:szCs w:val="21"/>
                <w:highlight w:val="none"/>
                <w:lang w:eastAsia="zh-CN"/>
              </w:rPr>
              <w:instrText xml:space="preserve">□</w:instrText>
            </w:r>
            <w:r>
              <w:rPr>
                <w:rFonts w:ascii="Times New Roman" w:hAnsi="Times New Roman" w:cs="Times New Roman"/>
                <w:color w:val="auto"/>
                <w:position w:val="0"/>
                <w:sz w:val="21"/>
                <w:szCs w:val="21"/>
                <w:highlight w:val="none"/>
                <w:lang w:eastAsia="zh-CN"/>
              </w:rPr>
              <w:instrText xml:space="preserve">,√)</w:instrText>
            </w:r>
            <w:r>
              <w:rPr>
                <w:rFonts w:ascii="Times New Roman" w:hAnsi="Times New Roman" w:cs="Times New Roman"/>
                <w:color w:val="auto"/>
                <w:sz w:val="21"/>
                <w:szCs w:val="21"/>
                <w:highlight w:val="none"/>
                <w:lang w:eastAsia="zh-CN"/>
              </w:rPr>
              <w:fldChar w:fldCharType="end"/>
            </w:r>
            <w:r>
              <w:rPr>
                <w:rFonts w:ascii="Times New Roman" w:hAnsi="Times New Roman" w:cs="Times New Roman"/>
                <w:color w:val="auto"/>
                <w:sz w:val="21"/>
                <w:szCs w:val="21"/>
                <w:highlight w:val="none"/>
              </w:rPr>
              <w:t>否</w:t>
            </w:r>
          </w:p>
          <w:p>
            <w:pPr>
              <w:pStyle w:val="18"/>
              <w:jc w:val="center"/>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8"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专项评价设置情况</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本项目不设置专项评价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规划情况</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8"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规划环境影响评价情况</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2"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41"/>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规划及规划环境影响评价符合性分析</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color w:val="auto"/>
                <w:sz w:val="21"/>
                <w:szCs w:val="21"/>
                <w:highlight w:val="none"/>
                <w:lang w:eastAsia="zh-CN"/>
              </w:rPr>
            </w:pPr>
          </w:p>
          <w:p>
            <w:pPr>
              <w:spacing w:line="360" w:lineRule="auto"/>
              <w:jc w:val="center"/>
              <w:rPr>
                <w:rFonts w:ascii="Times New Roman" w:hAnsi="Times New Roman" w:cs="Times New Roman"/>
                <w:color w:val="auto"/>
                <w:sz w:val="21"/>
                <w:szCs w:val="21"/>
                <w:highlight w:val="none"/>
                <w:lang w:eastAsia="zh-CN"/>
              </w:rPr>
            </w:pPr>
          </w:p>
          <w:p>
            <w:pPr>
              <w:spacing w:line="360" w:lineRule="auto"/>
              <w:jc w:val="center"/>
              <w:rPr>
                <w:rFonts w:ascii="Times New Roman" w:hAnsi="Times New Roman" w:cs="Times New Roman"/>
                <w:color w:val="auto"/>
                <w:sz w:val="21"/>
                <w:szCs w:val="21"/>
                <w:highlight w:val="none"/>
                <w:lang w:eastAsia="zh-CN"/>
              </w:rPr>
            </w:pPr>
          </w:p>
          <w:p>
            <w:pPr>
              <w:spacing w:line="360" w:lineRule="auto"/>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无</w:t>
            </w:r>
          </w:p>
          <w:p>
            <w:pPr>
              <w:pStyle w:val="18"/>
              <w:jc w:val="center"/>
              <w:rPr>
                <w:rFonts w:ascii="Times New Roman" w:hAnsi="Times New Roman" w:cs="Times New Roman"/>
                <w:color w:val="auto"/>
                <w:sz w:val="21"/>
                <w:szCs w:val="21"/>
                <w:highlight w:val="none"/>
                <w:lang w:eastAsia="zh-CN"/>
              </w:rPr>
            </w:pPr>
          </w:p>
          <w:p>
            <w:pPr>
              <w:pStyle w:val="18"/>
              <w:jc w:val="center"/>
              <w:rPr>
                <w:rFonts w:ascii="Times New Roman" w:hAnsi="Times New Roman" w:cs="Times New Roman"/>
                <w:color w:val="auto"/>
                <w:sz w:val="21"/>
                <w:szCs w:val="21"/>
                <w:highlight w:val="none"/>
                <w:lang w:eastAsia="zh-CN"/>
              </w:rPr>
            </w:pPr>
          </w:p>
          <w:p>
            <w:pPr>
              <w:pStyle w:val="18"/>
              <w:jc w:val="center"/>
              <w:rPr>
                <w:rFonts w:ascii="Times New Roman" w:hAnsi="Times New Roman" w:cs="Times New Roman"/>
                <w:color w:val="auto"/>
                <w:sz w:val="21"/>
                <w:szCs w:val="21"/>
                <w:highlight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49" w:hRule="atLeast"/>
        </w:trPr>
        <w:tc>
          <w:tcPr>
            <w:tcW w:w="790" w:type="dxa"/>
            <w:tcBorders>
              <w:top w:val="single" w:color="000000" w:sz="4" w:space="0"/>
              <w:right w:val="single" w:color="auto" w:sz="4" w:space="0"/>
            </w:tcBorders>
            <w:vAlign w:val="center"/>
          </w:tcPr>
          <w:p>
            <w:pPr>
              <w:pStyle w:val="18"/>
              <w:ind w:right="144"/>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其他符合性分析</w:t>
            </w:r>
          </w:p>
        </w:tc>
        <w:tc>
          <w:tcPr>
            <w:tcW w:w="8914" w:type="dxa"/>
            <w:gridSpan w:val="4"/>
            <w:tcBorders>
              <w:top w:val="single" w:color="000000"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color w:val="auto"/>
                <w:spacing w:val="4"/>
                <w:kern w:val="2"/>
                <w:sz w:val="21"/>
                <w:szCs w:val="21"/>
                <w:highlight w:val="none"/>
                <w:lang w:eastAsia="zh-CN"/>
              </w:rPr>
            </w:pPr>
            <w:r>
              <w:rPr>
                <w:rFonts w:ascii="Times New Roman" w:hAnsi="Times New Roman" w:cs="Times New Roman"/>
                <w:b/>
                <w:bCs/>
                <w:color w:val="auto"/>
                <w:spacing w:val="4"/>
                <w:kern w:val="2"/>
                <w:sz w:val="21"/>
                <w:szCs w:val="21"/>
                <w:highlight w:val="none"/>
                <w:lang w:eastAsia="zh-CN"/>
              </w:rPr>
              <w:t>1、产业政策符合性分析</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对照《产业结构调整指导目录（</w:t>
            </w:r>
            <w:r>
              <w:rPr>
                <w:rFonts w:ascii="Times New Roman" w:hAnsi="Times New Roman" w:cs="Times New Roman"/>
                <w:color w:val="auto"/>
                <w:spacing w:val="4"/>
                <w:kern w:val="2"/>
                <w:sz w:val="21"/>
                <w:szCs w:val="21"/>
                <w:highlight w:val="none"/>
                <w:lang w:eastAsia="zh-CN"/>
              </w:rPr>
              <w:t>2019年本</w:t>
            </w:r>
            <w:r>
              <w:rPr>
                <w:rFonts w:hint="eastAsia" w:ascii="Times New Roman" w:hAnsi="Times New Roman" w:cs="Times New Roman"/>
                <w:color w:val="auto"/>
                <w:spacing w:val="4"/>
                <w:kern w:val="2"/>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2021年修改</w:t>
            </w:r>
            <w:r>
              <w:rPr>
                <w:rFonts w:ascii="Times New Roman" w:hAnsi="Times New Roman" w:cs="Times New Roman"/>
                <w:color w:val="auto"/>
                <w:spacing w:val="4"/>
                <w:kern w:val="2"/>
                <w:sz w:val="21"/>
                <w:szCs w:val="21"/>
                <w:highlight w:val="none"/>
                <w:lang w:eastAsia="zh-CN"/>
              </w:rPr>
              <w:t>）》，本项目不属于其规定的鼓励类、限制类和淘汰范围内，即视为允许类项目。</w:t>
            </w:r>
            <w:r>
              <w:rPr>
                <w:rFonts w:hint="eastAsia" w:ascii="Times New Roman" w:hAnsi="Times New Roman" w:cs="Times New Roman"/>
                <w:color w:val="auto"/>
                <w:spacing w:val="4"/>
                <w:kern w:val="2"/>
                <w:sz w:val="21"/>
                <w:szCs w:val="21"/>
                <w:highlight w:val="none"/>
                <w:lang w:eastAsia="zh-CN"/>
              </w:rPr>
              <w:t>因此</w:t>
            </w:r>
            <w:r>
              <w:rPr>
                <w:rFonts w:ascii="Times New Roman" w:hAnsi="Times New Roman" w:cs="Times New Roman"/>
                <w:color w:val="auto"/>
                <w:spacing w:val="4"/>
                <w:kern w:val="2"/>
                <w:sz w:val="21"/>
                <w:szCs w:val="21"/>
                <w:highlight w:val="none"/>
                <w:lang w:eastAsia="zh-CN"/>
              </w:rPr>
              <w:t>，本项目建设</w:t>
            </w:r>
            <w:r>
              <w:rPr>
                <w:rFonts w:hint="eastAsia" w:ascii="Times New Roman" w:hAnsi="Times New Roman" w:cs="Times New Roman"/>
                <w:color w:val="auto"/>
                <w:spacing w:val="4"/>
                <w:kern w:val="2"/>
                <w:sz w:val="21"/>
                <w:szCs w:val="21"/>
                <w:highlight w:val="none"/>
                <w:lang w:eastAsia="zh-CN"/>
              </w:rPr>
              <w:t>符合</w:t>
            </w:r>
            <w:r>
              <w:rPr>
                <w:rFonts w:ascii="Times New Roman" w:hAnsi="Times New Roman" w:cs="Times New Roman"/>
                <w:color w:val="auto"/>
                <w:spacing w:val="4"/>
                <w:kern w:val="2"/>
                <w:sz w:val="21"/>
                <w:szCs w:val="21"/>
                <w:highlight w:val="none"/>
                <w:lang w:eastAsia="zh-CN"/>
              </w:rPr>
              <w:t>国家产业政策。</w:t>
            </w:r>
          </w:p>
          <w:p>
            <w:pPr>
              <w:pStyle w:val="18"/>
              <w:keepNext w:val="0"/>
              <w:keepLines w:val="0"/>
              <w:pageBreakBefore w:val="0"/>
              <w:widowControl w:val="0"/>
              <w:kinsoku/>
              <w:wordWrap/>
              <w:overflowPunct/>
              <w:topLinePunct w:val="0"/>
              <w:bidi w:val="0"/>
              <w:adjustRightInd/>
              <w:snapToGrid/>
              <w:spacing w:line="360" w:lineRule="auto"/>
              <w:jc w:val="both"/>
              <w:textAlignment w:val="auto"/>
              <w:rPr>
                <w:rFonts w:ascii="Times New Roman" w:hAnsi="Times New Roman" w:cs="Times New Roman"/>
                <w:b/>
                <w:bCs/>
                <w:color w:val="auto"/>
                <w:spacing w:val="4"/>
                <w:kern w:val="2"/>
                <w:sz w:val="21"/>
                <w:szCs w:val="21"/>
                <w:highlight w:val="none"/>
                <w:lang w:eastAsia="zh-CN"/>
              </w:rPr>
            </w:pPr>
            <w:r>
              <w:rPr>
                <w:rFonts w:ascii="Times New Roman" w:hAnsi="Times New Roman" w:cs="Times New Roman"/>
                <w:b/>
                <w:bCs/>
                <w:color w:val="auto"/>
                <w:spacing w:val="4"/>
                <w:kern w:val="2"/>
                <w:sz w:val="21"/>
                <w:szCs w:val="21"/>
                <w:highlight w:val="none"/>
                <w:lang w:eastAsia="zh-CN"/>
              </w:rPr>
              <w:t>2</w:t>
            </w:r>
            <w:r>
              <w:rPr>
                <w:rFonts w:hint="eastAsia" w:ascii="Times New Roman" w:hAnsi="Times New Roman" w:cs="Times New Roman"/>
                <w:b/>
                <w:bCs/>
                <w:color w:val="auto"/>
                <w:spacing w:val="4"/>
                <w:kern w:val="2"/>
                <w:sz w:val="21"/>
                <w:szCs w:val="21"/>
                <w:highlight w:val="none"/>
                <w:lang w:eastAsia="zh-CN"/>
              </w:rPr>
              <w:t>、项目与“自治区打赢蓝天保卫战三年行动计划（2</w:t>
            </w:r>
            <w:r>
              <w:rPr>
                <w:rFonts w:ascii="Times New Roman" w:hAnsi="Times New Roman" w:cs="Times New Roman"/>
                <w:b/>
                <w:bCs/>
                <w:color w:val="auto"/>
                <w:spacing w:val="4"/>
                <w:kern w:val="2"/>
                <w:sz w:val="21"/>
                <w:szCs w:val="21"/>
                <w:highlight w:val="none"/>
                <w:lang w:eastAsia="zh-CN"/>
              </w:rPr>
              <w:t>018-2020</w:t>
            </w:r>
            <w:r>
              <w:rPr>
                <w:rFonts w:hint="eastAsia" w:ascii="Times New Roman" w:hAnsi="Times New Roman" w:cs="Times New Roman"/>
                <w:b/>
                <w:bCs/>
                <w:color w:val="auto"/>
                <w:spacing w:val="4"/>
                <w:kern w:val="2"/>
                <w:sz w:val="21"/>
                <w:szCs w:val="21"/>
                <w:highlight w:val="none"/>
                <w:lang w:eastAsia="zh-CN"/>
              </w:rPr>
              <w:t>年）”符合性分析</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根据《</w:t>
            </w:r>
            <w:r>
              <w:rPr>
                <w:rFonts w:ascii="Times New Roman" w:hAnsi="Times New Roman" w:cs="Times New Roman"/>
                <w:color w:val="auto"/>
                <w:spacing w:val="4"/>
                <w:kern w:val="2"/>
                <w:sz w:val="21"/>
                <w:szCs w:val="21"/>
                <w:highlight w:val="none"/>
                <w:lang w:eastAsia="zh-CN"/>
              </w:rPr>
              <w:t>自治区打赢蓝天保卫战三年行动计划（2018-2020年</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》（新政发</w:t>
            </w:r>
            <w:r>
              <w:rPr>
                <w:rFonts w:hint="eastAsia" w:ascii="Times New Roman" w:hAnsi="Times New Roman" w:cs="Times New Roman"/>
                <w:color w:val="auto"/>
                <w:spacing w:val="4"/>
                <w:kern w:val="2"/>
                <w:sz w:val="21"/>
                <w:szCs w:val="21"/>
                <w:highlight w:val="none"/>
                <w:lang w:eastAsia="zh-CN"/>
              </w:rPr>
              <w:t xml:space="preserve"> [</w:t>
            </w:r>
            <w:r>
              <w:rPr>
                <w:rFonts w:ascii="Times New Roman" w:hAnsi="Times New Roman" w:cs="Times New Roman"/>
                <w:color w:val="auto"/>
                <w:spacing w:val="4"/>
                <w:kern w:val="2"/>
                <w:sz w:val="21"/>
                <w:szCs w:val="21"/>
                <w:highlight w:val="none"/>
                <w:lang w:eastAsia="zh-CN"/>
              </w:rPr>
              <w:t>2018]66号）</w:t>
            </w:r>
            <w:r>
              <w:rPr>
                <w:rFonts w:hint="eastAsia" w:ascii="Times New Roman" w:hAnsi="Times New Roman" w:cs="Times New Roman"/>
                <w:color w:val="auto"/>
                <w:spacing w:val="4"/>
                <w:kern w:val="2"/>
                <w:sz w:val="21"/>
                <w:szCs w:val="21"/>
                <w:highlight w:val="none"/>
                <w:lang w:eastAsia="zh-CN"/>
              </w:rPr>
              <w:t>，1</w:t>
            </w:r>
            <w:r>
              <w:rPr>
                <w:rFonts w:ascii="Times New Roman" w:hAnsi="Times New Roman" w:cs="Times New Roman"/>
                <w:color w:val="auto"/>
                <w:spacing w:val="4"/>
                <w:kern w:val="2"/>
                <w:sz w:val="21"/>
                <w:szCs w:val="21"/>
                <w:highlight w:val="none"/>
                <w:lang w:eastAsia="zh-CN"/>
              </w:rPr>
              <w:t>9.</w:t>
            </w:r>
            <w:r>
              <w:rPr>
                <w:rFonts w:hint="eastAsia" w:ascii="Times New Roman" w:hAnsi="Times New Roman" w:cs="Times New Roman"/>
                <w:color w:val="auto"/>
                <w:spacing w:val="4"/>
                <w:kern w:val="2"/>
                <w:sz w:val="21"/>
                <w:szCs w:val="21"/>
                <w:highlight w:val="none"/>
                <w:lang w:eastAsia="zh-CN"/>
              </w:rPr>
              <w:t>推进露天矿山综合整治。制定露天矿山综合整治计划，2</w:t>
            </w:r>
            <w:r>
              <w:rPr>
                <w:rFonts w:ascii="Times New Roman" w:hAnsi="Times New Roman" w:cs="Times New Roman"/>
                <w:color w:val="auto"/>
                <w:spacing w:val="4"/>
                <w:kern w:val="2"/>
                <w:sz w:val="21"/>
                <w:szCs w:val="21"/>
                <w:highlight w:val="none"/>
                <w:lang w:eastAsia="zh-CN"/>
              </w:rPr>
              <w:t>019</w:t>
            </w:r>
            <w:r>
              <w:rPr>
                <w:rFonts w:hint="eastAsia" w:ascii="Times New Roman" w:hAnsi="Times New Roman" w:cs="Times New Roman"/>
                <w:color w:val="auto"/>
                <w:spacing w:val="4"/>
                <w:kern w:val="2"/>
                <w:sz w:val="21"/>
                <w:szCs w:val="21"/>
                <w:highlight w:val="none"/>
                <w:lang w:eastAsia="zh-CN"/>
              </w:rPr>
              <w:t>年6月底完成全区露天开采矿山摸底排查。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减尘抑尘。加强矸石山治理。2</w:t>
            </w:r>
            <w:r>
              <w:rPr>
                <w:rFonts w:ascii="Times New Roman" w:hAnsi="Times New Roman" w:cs="Times New Roman"/>
                <w:color w:val="auto"/>
                <w:spacing w:val="4"/>
                <w:kern w:val="2"/>
                <w:sz w:val="21"/>
                <w:szCs w:val="21"/>
                <w:highlight w:val="none"/>
                <w:lang w:eastAsia="zh-CN"/>
              </w:rPr>
              <w:t>020</w:t>
            </w:r>
            <w:r>
              <w:rPr>
                <w:rFonts w:hint="eastAsia" w:ascii="Times New Roman" w:hAnsi="Times New Roman" w:cs="Times New Roman"/>
                <w:color w:val="auto"/>
                <w:spacing w:val="4"/>
                <w:kern w:val="2"/>
                <w:sz w:val="21"/>
                <w:szCs w:val="21"/>
                <w:highlight w:val="none"/>
                <w:lang w:eastAsia="zh-CN"/>
              </w:rPr>
              <w:t>年，实现5</w:t>
            </w:r>
            <w:r>
              <w:rPr>
                <w:rFonts w:ascii="Times New Roman" w:hAnsi="Times New Roman" w:cs="Times New Roman"/>
                <w:color w:val="auto"/>
                <w:spacing w:val="4"/>
                <w:kern w:val="2"/>
                <w:sz w:val="21"/>
                <w:szCs w:val="21"/>
                <w:highlight w:val="none"/>
                <w:lang w:eastAsia="zh-CN"/>
              </w:rPr>
              <w:t>0</w:t>
            </w:r>
            <w:r>
              <w:rPr>
                <w:rFonts w:hint="eastAsia" w:ascii="Times New Roman" w:hAnsi="Times New Roman" w:cs="Times New Roman"/>
                <w:color w:val="auto"/>
                <w:spacing w:val="4"/>
                <w:kern w:val="2"/>
                <w:sz w:val="21"/>
                <w:szCs w:val="21"/>
                <w:highlight w:val="none"/>
                <w:lang w:eastAsia="zh-CN"/>
              </w:rPr>
              <w:t>城镇周边矿业权灭失的矿山得以治理恢复，6</w:t>
            </w:r>
            <w:r>
              <w:rPr>
                <w:rFonts w:ascii="Times New Roman" w:hAnsi="Times New Roman" w:cs="Times New Roman"/>
                <w:color w:val="auto"/>
                <w:spacing w:val="4"/>
                <w:kern w:val="2"/>
                <w:sz w:val="21"/>
                <w:szCs w:val="21"/>
                <w:highlight w:val="none"/>
                <w:lang w:eastAsia="zh-CN"/>
              </w:rPr>
              <w:t>0%</w:t>
            </w:r>
            <w:r>
              <w:rPr>
                <w:rFonts w:hint="eastAsia" w:ascii="Times New Roman" w:hAnsi="Times New Roman" w:cs="Times New Roman"/>
                <w:color w:val="auto"/>
                <w:spacing w:val="4"/>
                <w:kern w:val="2"/>
                <w:sz w:val="21"/>
                <w:szCs w:val="21"/>
                <w:highlight w:val="none"/>
                <w:lang w:eastAsia="zh-CN"/>
              </w:rPr>
              <w:t>城市周边采砂取土行为统一规划、集中开展。</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本项目已在新源县自然资源局依法办理并取得采矿许可证，编制《矿山地质环境保护与土地复垦方案》，项目依法依规合理开采，并落实本环评提出的各项环保措施。因此，项目符合《自治区打赢蓝天保卫战三年行动计划（</w:t>
            </w:r>
            <w:r>
              <w:rPr>
                <w:rFonts w:ascii="Times New Roman" w:hAnsi="Times New Roman" w:cs="Times New Roman"/>
                <w:color w:val="auto"/>
                <w:spacing w:val="4"/>
                <w:kern w:val="2"/>
                <w:sz w:val="21"/>
                <w:szCs w:val="21"/>
                <w:highlight w:val="none"/>
                <w:lang w:eastAsia="zh-CN"/>
              </w:rPr>
              <w:t>2018-2020年）</w:t>
            </w:r>
            <w:r>
              <w:rPr>
                <w:rFonts w:hint="eastAsia" w:ascii="Times New Roman" w:hAnsi="Times New Roman" w:cs="Times New Roman"/>
                <w:color w:val="auto"/>
                <w:spacing w:val="4"/>
                <w:kern w:val="2"/>
                <w:sz w:val="21"/>
                <w:szCs w:val="21"/>
                <w:highlight w:val="none"/>
                <w:lang w:eastAsia="zh-CN"/>
              </w:rPr>
              <w:t>》的相关要求。</w:t>
            </w:r>
          </w:p>
          <w:p>
            <w:pPr>
              <w:autoSpaceDE/>
              <w:autoSpaceDN/>
              <w:spacing w:line="360" w:lineRule="auto"/>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b/>
                <w:bCs/>
                <w:color w:val="auto"/>
                <w:spacing w:val="4"/>
                <w:kern w:val="2"/>
                <w:sz w:val="21"/>
                <w:szCs w:val="21"/>
                <w:highlight w:val="none"/>
                <w:lang w:eastAsia="zh-CN"/>
              </w:rPr>
              <w:t>3</w:t>
            </w:r>
            <w:r>
              <w:rPr>
                <w:rFonts w:ascii="Times New Roman" w:hAnsi="Times New Roman" w:cs="Times New Roman"/>
                <w:b/>
                <w:bCs/>
                <w:color w:val="auto"/>
                <w:spacing w:val="4"/>
                <w:kern w:val="2"/>
                <w:sz w:val="21"/>
                <w:szCs w:val="21"/>
                <w:highlight w:val="none"/>
                <w:lang w:eastAsia="zh-CN"/>
              </w:rPr>
              <w:t>、</w:t>
            </w:r>
            <w:r>
              <w:rPr>
                <w:rFonts w:hint="eastAsia" w:ascii="Times New Roman" w:hAnsi="Times New Roman" w:cs="Times New Roman"/>
                <w:b/>
                <w:bCs/>
                <w:color w:val="auto"/>
                <w:spacing w:val="4"/>
                <w:kern w:val="2"/>
                <w:sz w:val="21"/>
                <w:szCs w:val="21"/>
                <w:highlight w:val="none"/>
                <w:lang w:eastAsia="zh-CN"/>
              </w:rPr>
              <w:t>项目与《矿山生态环境保护与恢复治理技术规范（试行）》（H</w:t>
            </w:r>
            <w:r>
              <w:rPr>
                <w:rFonts w:ascii="Times New Roman" w:hAnsi="Times New Roman" w:cs="Times New Roman"/>
                <w:b/>
                <w:bCs/>
                <w:color w:val="auto"/>
                <w:spacing w:val="4"/>
                <w:kern w:val="2"/>
                <w:sz w:val="21"/>
                <w:szCs w:val="21"/>
                <w:highlight w:val="none"/>
                <w:lang w:eastAsia="zh-CN"/>
              </w:rPr>
              <w:t>J 651-2013</w:t>
            </w:r>
            <w:r>
              <w:rPr>
                <w:rFonts w:hint="eastAsia" w:ascii="Times New Roman" w:hAnsi="Times New Roman" w:cs="Times New Roman"/>
                <w:b/>
                <w:bCs/>
                <w:color w:val="auto"/>
                <w:spacing w:val="4"/>
                <w:kern w:val="2"/>
                <w:sz w:val="21"/>
                <w:szCs w:val="21"/>
                <w:highlight w:val="none"/>
                <w:lang w:eastAsia="zh-CN"/>
              </w:rPr>
              <w:t>）</w:t>
            </w:r>
            <w:r>
              <w:rPr>
                <w:rFonts w:ascii="Times New Roman" w:hAnsi="Times New Roman" w:cs="Times New Roman"/>
                <w:b/>
                <w:bCs/>
                <w:color w:val="auto"/>
                <w:spacing w:val="4"/>
                <w:kern w:val="2"/>
                <w:sz w:val="21"/>
                <w:szCs w:val="21"/>
                <w:highlight w:val="none"/>
                <w:lang w:eastAsia="zh-CN"/>
              </w:rPr>
              <w:t>符合性分析</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《矿山生态环境保护与恢复治理技术规范（试行）》（</w:t>
            </w:r>
            <w:r>
              <w:rPr>
                <w:rFonts w:ascii="Times New Roman" w:hAnsi="Times New Roman" w:cs="Times New Roman"/>
                <w:color w:val="auto"/>
                <w:spacing w:val="4"/>
                <w:kern w:val="2"/>
                <w:sz w:val="21"/>
                <w:szCs w:val="21"/>
                <w:highlight w:val="none"/>
                <w:lang w:eastAsia="zh-CN"/>
              </w:rPr>
              <w:t>HJ 651-2013）</w:t>
            </w:r>
            <w:r>
              <w:rPr>
                <w:rFonts w:hint="eastAsia" w:ascii="Times New Roman" w:hAnsi="Times New Roman" w:cs="Times New Roman"/>
                <w:color w:val="auto"/>
                <w:spacing w:val="4"/>
                <w:kern w:val="2"/>
                <w:sz w:val="21"/>
                <w:szCs w:val="21"/>
                <w:highlight w:val="none"/>
                <w:lang w:eastAsia="zh-CN"/>
              </w:rPr>
              <w:t>对矿山生态环境保护与恢复治理的一般要求如下：</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①禁止在依法划定的自然保护区、风景名胜区、森林公园、饮用水水源保护区、文物古迹所在地、地质遗迹保护区、基本农田保护区等重要生态保护地以及其他法律法规规定的禁采区域内采矿。禁止在重要道路、航道两侧及重要生态环境敏感目标可视范围内进行对景观破坏明显的露天开采。</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②矿产资源开发活动应符合国家和区域主体功能区规划、生态功能区划、生态环境保护规划的要求，采取有效预防和保护措施，避免或减轻矿产资源开发活动造成的生态破坏和环境污染。</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③坚持“预防为主、防治结合、过程控制”的原则，将矿山生态环境保护与恢复治理贯穿矿产资源开采的全过程。根据矿山生态环境保护与恢复治理的重点任务，合理确定矿山生态保护与恢复治理的重点任务，合理确定矿山生态保护与恢复治理分区，优化矿区生产与生活空间格局。采用新技术、新方法、新工艺提高矿山生态环境保护和恢复治理水平。</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④所有矿山企业均应编制实施矿山生态环境保护与恢复治理方案。</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⑤恢复治理后的各类场地应实现：安全稳定，对人类和动物不造成威胁；对周边环境不产生污染；与周边自然环境和景观协调；恢复土地基本功能，因地制宜实现土地可持续利用；区域整体生态功能得到保护和恢复。</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经核实，项目选址不涉及上述规范提及的禁建区域，已编制《矿山地质环境保护与土地复垦方案》，开采过程中落实相关环保措施，闭矿期生态恢复后符合《矿山生态环境保护与恢复治理技术规范（试行）》（</w:t>
            </w:r>
            <w:r>
              <w:rPr>
                <w:rFonts w:ascii="Times New Roman" w:hAnsi="Times New Roman" w:cs="Times New Roman"/>
                <w:color w:val="auto"/>
                <w:spacing w:val="4"/>
                <w:kern w:val="2"/>
                <w:sz w:val="21"/>
                <w:szCs w:val="21"/>
                <w:highlight w:val="none"/>
                <w:lang w:eastAsia="zh-CN"/>
              </w:rPr>
              <w:t>HJ 651-2013）</w:t>
            </w:r>
            <w:r>
              <w:rPr>
                <w:rFonts w:hint="eastAsia" w:ascii="Times New Roman" w:hAnsi="Times New Roman" w:cs="Times New Roman"/>
                <w:color w:val="auto"/>
                <w:spacing w:val="4"/>
                <w:kern w:val="2"/>
                <w:sz w:val="21"/>
                <w:szCs w:val="21"/>
                <w:highlight w:val="none"/>
                <w:lang w:eastAsia="zh-CN"/>
              </w:rPr>
              <w:t>要求。</w:t>
            </w:r>
          </w:p>
          <w:p>
            <w:pPr>
              <w:pStyle w:val="18"/>
              <w:spacing w:line="360" w:lineRule="auto"/>
              <w:jc w:val="both"/>
              <w:rPr>
                <w:rFonts w:ascii="Times New Roman" w:hAnsi="Times New Roman" w:cs="Times New Roman"/>
                <w:b/>
                <w:bCs/>
                <w:color w:val="auto"/>
                <w:spacing w:val="4"/>
                <w:kern w:val="2"/>
                <w:sz w:val="21"/>
                <w:szCs w:val="21"/>
                <w:highlight w:val="none"/>
                <w:lang w:eastAsia="zh-CN"/>
              </w:rPr>
            </w:pPr>
            <w:r>
              <w:rPr>
                <w:rFonts w:hint="eastAsia" w:ascii="Times New Roman" w:hAnsi="Times New Roman" w:cs="Times New Roman"/>
                <w:b/>
                <w:bCs/>
                <w:color w:val="auto"/>
                <w:spacing w:val="4"/>
                <w:kern w:val="2"/>
                <w:sz w:val="21"/>
                <w:szCs w:val="21"/>
                <w:highlight w:val="none"/>
                <w:lang w:eastAsia="zh-CN"/>
              </w:rPr>
              <w:t>4、项目与《新疆维吾尔自治区矿产资源总体规划（</w:t>
            </w:r>
            <w:r>
              <w:rPr>
                <w:rFonts w:ascii="Times New Roman" w:hAnsi="Times New Roman" w:cs="Times New Roman"/>
                <w:b/>
                <w:bCs/>
                <w:color w:val="auto"/>
                <w:spacing w:val="4"/>
                <w:kern w:val="2"/>
                <w:sz w:val="21"/>
                <w:szCs w:val="21"/>
                <w:highlight w:val="none"/>
                <w:lang w:eastAsia="zh-CN"/>
              </w:rPr>
              <w:t>2021-2025）》</w:t>
            </w:r>
            <w:r>
              <w:rPr>
                <w:rFonts w:hint="eastAsia" w:ascii="Times New Roman" w:hAnsi="Times New Roman" w:cs="Times New Roman"/>
                <w:b/>
                <w:bCs/>
                <w:color w:val="auto"/>
                <w:spacing w:val="4"/>
                <w:kern w:val="2"/>
                <w:sz w:val="21"/>
                <w:szCs w:val="21"/>
                <w:highlight w:val="none"/>
                <w:lang w:eastAsia="zh-CN"/>
              </w:rPr>
              <w:t>符合性分析</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《新疆维吾</w:t>
            </w:r>
            <w:r>
              <w:rPr>
                <w:rFonts w:hint="eastAsia" w:ascii="Times New Roman" w:hAnsi="Times New Roman" w:cs="Times New Roman"/>
                <w:color w:val="auto"/>
                <w:spacing w:val="4"/>
                <w:kern w:val="2"/>
                <w:sz w:val="21"/>
                <w:szCs w:val="21"/>
                <w:highlight w:val="none"/>
                <w:lang w:val="en-US" w:eastAsia="zh-CN"/>
              </w:rPr>
              <w:t>尔</w:t>
            </w:r>
            <w:r>
              <w:rPr>
                <w:rFonts w:hint="eastAsia" w:ascii="Times New Roman" w:hAnsi="Times New Roman" w:cs="Times New Roman"/>
                <w:color w:val="auto"/>
                <w:spacing w:val="4"/>
                <w:kern w:val="2"/>
                <w:sz w:val="21"/>
                <w:szCs w:val="21"/>
                <w:highlight w:val="none"/>
                <w:lang w:eastAsia="zh-CN"/>
              </w:rPr>
              <w:t>自治区矿产资源总体规划（</w:t>
            </w:r>
            <w:r>
              <w:rPr>
                <w:rFonts w:ascii="Times New Roman" w:hAnsi="Times New Roman" w:cs="Times New Roman"/>
                <w:color w:val="auto"/>
                <w:spacing w:val="4"/>
                <w:kern w:val="2"/>
                <w:sz w:val="21"/>
                <w:szCs w:val="21"/>
                <w:highlight w:val="none"/>
                <w:lang w:eastAsia="zh-CN"/>
              </w:rPr>
              <w:t>2021-2025）》</w:t>
            </w:r>
            <w:r>
              <w:rPr>
                <w:rFonts w:hint="eastAsia" w:ascii="Times New Roman" w:hAnsi="Times New Roman" w:cs="Times New Roman"/>
                <w:color w:val="auto"/>
                <w:spacing w:val="4"/>
                <w:kern w:val="2"/>
                <w:sz w:val="21"/>
                <w:szCs w:val="21"/>
                <w:highlight w:val="none"/>
                <w:lang w:eastAsia="zh-CN"/>
              </w:rPr>
              <w:t>提出，严格保护生态环境，发挥区域资源优势，正确引导矿产资源开发利用的方向。坚持“在保护中开发，在开发中保护”，按照</w:t>
            </w:r>
            <w:r>
              <w:rPr>
                <w:rFonts w:ascii="Times New Roman" w:hAnsi="Times New Roman" w:cs="Times New Roman"/>
                <w:color w:val="auto"/>
                <w:spacing w:val="4"/>
                <w:kern w:val="2"/>
                <w:sz w:val="21"/>
                <w:szCs w:val="21"/>
                <w:highlight w:val="none"/>
                <w:lang w:eastAsia="zh-CN"/>
              </w:rPr>
              <w:t>“分散开采、分片选矿、集中冶炼”的原则，整合现有矿产资源，</w:t>
            </w:r>
            <w:r>
              <w:rPr>
                <w:rFonts w:hint="eastAsia" w:ascii="Times New Roman" w:hAnsi="Times New Roman" w:cs="Times New Roman"/>
                <w:color w:val="auto"/>
                <w:spacing w:val="4"/>
                <w:kern w:val="2"/>
                <w:sz w:val="21"/>
                <w:szCs w:val="21"/>
                <w:highlight w:val="none"/>
                <w:lang w:eastAsia="zh-CN"/>
              </w:rPr>
              <w:t>发展集约型企业，实现产业规模化、集群化。</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控制改扩建及新建矿山最低开采规模。规划期内禁止建设</w:t>
            </w:r>
            <w:r>
              <w:rPr>
                <w:rFonts w:ascii="Times New Roman" w:hAnsi="Times New Roman" w:cs="Times New Roman"/>
                <w:color w:val="auto"/>
                <w:spacing w:val="4"/>
                <w:kern w:val="2"/>
                <w:sz w:val="21"/>
                <w:szCs w:val="21"/>
                <w:highlight w:val="none"/>
                <w:lang w:eastAsia="zh-CN"/>
              </w:rPr>
              <w:t>90万吨/年</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不含</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以下产能的煤与瓦斯突出煤矿改扩建井、45万</w:t>
            </w:r>
            <w:r>
              <w:rPr>
                <w:rFonts w:hint="eastAsia" w:ascii="Times New Roman" w:hAnsi="Times New Roman" w:cs="Times New Roman"/>
                <w:color w:val="auto"/>
                <w:spacing w:val="4"/>
                <w:kern w:val="2"/>
                <w:sz w:val="21"/>
                <w:szCs w:val="21"/>
                <w:highlight w:val="none"/>
                <w:lang w:eastAsia="zh-CN"/>
              </w:rPr>
              <w:t>吨</w:t>
            </w:r>
            <w:r>
              <w:rPr>
                <w:rFonts w:ascii="Times New Roman" w:hAnsi="Times New Roman" w:cs="Times New Roman"/>
                <w:color w:val="auto"/>
                <w:spacing w:val="4"/>
                <w:kern w:val="2"/>
                <w:sz w:val="21"/>
                <w:szCs w:val="21"/>
                <w:highlight w:val="none"/>
                <w:lang w:eastAsia="zh-CN"/>
              </w:rPr>
              <w:t>/年</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不含</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以下产能</w:t>
            </w:r>
            <w:r>
              <w:rPr>
                <w:rFonts w:hint="eastAsia" w:ascii="Times New Roman" w:hAnsi="Times New Roman" w:cs="Times New Roman"/>
                <w:color w:val="auto"/>
                <w:spacing w:val="4"/>
                <w:kern w:val="2"/>
                <w:sz w:val="21"/>
                <w:szCs w:val="21"/>
                <w:highlight w:val="none"/>
                <w:lang w:eastAsia="zh-CN"/>
              </w:rPr>
              <w:t>的其他</w:t>
            </w:r>
            <w:r>
              <w:rPr>
                <w:rFonts w:ascii="Times New Roman" w:hAnsi="Times New Roman" w:cs="Times New Roman"/>
                <w:color w:val="auto"/>
                <w:spacing w:val="4"/>
                <w:kern w:val="2"/>
                <w:sz w:val="21"/>
                <w:szCs w:val="21"/>
                <w:highlight w:val="none"/>
                <w:lang w:eastAsia="zh-CN"/>
              </w:rPr>
              <w:t>煤矿改扩建井和120万吨/年</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不含</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以下产能的新建煤矿</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喀什、克州、和田、阿勒泰及个别边远缺煤县市外</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禁止在吐哈、准东、伊犁3大区内核准新建120万吨/年/矿井（不含）及400万吨/年/露天（不含）以下规模的煤矿项目。加大中小铁矿整合力度，适度控制千米以深矿井和小规模低品位铁矿的开发，不再新建年产30万吨（不含）以下露天开采铁矿、10万吨（不含）以下地下开采铁矿；不再新建年产矿石量30万吨以下的铜矿山；不再新建日处理岩金矿石300吨（不含）以下的露</w:t>
            </w:r>
            <w:r>
              <w:rPr>
                <w:rFonts w:hint="eastAsia" w:ascii="Times New Roman" w:hAnsi="Times New Roman" w:cs="Times New Roman"/>
                <w:color w:val="auto"/>
                <w:spacing w:val="4"/>
                <w:kern w:val="2"/>
                <w:sz w:val="21"/>
                <w:szCs w:val="21"/>
                <w:highlight w:val="none"/>
                <w:lang w:eastAsia="zh-CN"/>
              </w:rPr>
              <w:t>天采选项目、</w:t>
            </w:r>
            <w:r>
              <w:rPr>
                <w:rFonts w:ascii="Times New Roman" w:hAnsi="Times New Roman" w:cs="Times New Roman"/>
                <w:color w:val="auto"/>
                <w:spacing w:val="4"/>
                <w:kern w:val="2"/>
                <w:sz w:val="21"/>
                <w:szCs w:val="21"/>
                <w:highlight w:val="none"/>
                <w:lang w:eastAsia="zh-CN"/>
              </w:rPr>
              <w:t>100吨（不含）以下的地下采选项目。加快形成以能源资源基地和国家规划矿区为核心，大中型矿山为主体的格局。</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砂石集中开采区并严格管理。依据环境保护和运输半径合理规划砂石开采布局，在“三区两线”可视范围内严禁设置开采建筑石料等露天矿山。引导砂石矿实现集中开采、规模开发、绿色利用。原则上砂石矿开采规划区块必须位于集中开采区内，明确区内开采规划区块数量、开采规模、生态保护修复治理措施等准入要求。统筹各地州（市）、县市（区）砂石矿产的开发布局，促进资源优势互补，鼓励砂石资源的区域合理调配。</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本项目不属于《新疆维吾</w:t>
            </w:r>
            <w:r>
              <w:rPr>
                <w:rFonts w:hint="eastAsia" w:ascii="Times New Roman" w:hAnsi="Times New Roman" w:cs="Times New Roman"/>
                <w:color w:val="auto"/>
                <w:spacing w:val="4"/>
                <w:kern w:val="2"/>
                <w:sz w:val="21"/>
                <w:szCs w:val="21"/>
                <w:highlight w:val="none"/>
                <w:lang w:val="en-US" w:eastAsia="zh-CN"/>
              </w:rPr>
              <w:t>尔</w:t>
            </w:r>
            <w:r>
              <w:rPr>
                <w:rFonts w:hint="eastAsia" w:ascii="Times New Roman" w:hAnsi="Times New Roman" w:cs="Times New Roman"/>
                <w:color w:val="auto"/>
                <w:spacing w:val="4"/>
                <w:kern w:val="2"/>
                <w:sz w:val="21"/>
                <w:szCs w:val="21"/>
                <w:highlight w:val="none"/>
                <w:lang w:eastAsia="zh-CN"/>
              </w:rPr>
              <w:t>自治区矿产资源总体规划（</w:t>
            </w:r>
            <w:r>
              <w:rPr>
                <w:rFonts w:ascii="Times New Roman" w:hAnsi="Times New Roman" w:cs="Times New Roman"/>
                <w:color w:val="auto"/>
                <w:spacing w:val="4"/>
                <w:kern w:val="2"/>
                <w:sz w:val="21"/>
                <w:szCs w:val="21"/>
                <w:highlight w:val="none"/>
                <w:lang w:eastAsia="zh-CN"/>
              </w:rPr>
              <w:t>2021-2025）》</w:t>
            </w:r>
            <w:r>
              <w:rPr>
                <w:rFonts w:hint="eastAsia" w:ascii="Times New Roman" w:hAnsi="Times New Roman" w:cs="Times New Roman"/>
                <w:color w:val="auto"/>
                <w:spacing w:val="4"/>
                <w:kern w:val="2"/>
                <w:sz w:val="21"/>
                <w:szCs w:val="21"/>
                <w:highlight w:val="none"/>
                <w:lang w:eastAsia="zh-CN"/>
              </w:rPr>
              <w:t>中所列禁建情形，不涉及占用生态保护红线，因此，项目建设符合相关要求。</w:t>
            </w:r>
          </w:p>
          <w:p>
            <w:pPr>
              <w:pStyle w:val="18"/>
              <w:spacing w:line="360" w:lineRule="auto"/>
              <w:jc w:val="both"/>
              <w:rPr>
                <w:rFonts w:ascii="Times New Roman" w:hAnsi="Times New Roman" w:cs="Times New Roman"/>
                <w:b/>
                <w:bCs/>
                <w:color w:val="auto"/>
                <w:spacing w:val="4"/>
                <w:kern w:val="2"/>
                <w:sz w:val="21"/>
                <w:szCs w:val="21"/>
                <w:highlight w:val="none"/>
                <w:lang w:eastAsia="zh-CN"/>
              </w:rPr>
            </w:pPr>
            <w:r>
              <w:rPr>
                <w:rFonts w:ascii="Times New Roman" w:hAnsi="Times New Roman" w:cs="Times New Roman"/>
                <w:b/>
                <w:bCs/>
                <w:color w:val="auto"/>
                <w:spacing w:val="4"/>
                <w:kern w:val="2"/>
                <w:sz w:val="21"/>
                <w:szCs w:val="21"/>
                <w:highlight w:val="none"/>
                <w:lang w:eastAsia="zh-CN"/>
              </w:rPr>
              <w:t>5</w:t>
            </w:r>
            <w:r>
              <w:rPr>
                <w:rFonts w:hint="eastAsia" w:ascii="Times New Roman" w:hAnsi="Times New Roman" w:cs="Times New Roman"/>
                <w:b/>
                <w:bCs/>
                <w:color w:val="auto"/>
                <w:spacing w:val="4"/>
                <w:kern w:val="2"/>
                <w:sz w:val="21"/>
                <w:szCs w:val="21"/>
                <w:highlight w:val="none"/>
                <w:lang w:eastAsia="zh-CN"/>
              </w:rPr>
              <w:t>、项目与《新疆维吾尔自治区重点行业环境准入条件（修订）》（</w:t>
            </w:r>
            <w:r>
              <w:rPr>
                <w:rFonts w:ascii="Times New Roman" w:hAnsi="Times New Roman" w:cs="Times New Roman"/>
                <w:b/>
                <w:bCs/>
                <w:color w:val="auto"/>
                <w:spacing w:val="4"/>
                <w:kern w:val="2"/>
                <w:sz w:val="21"/>
                <w:szCs w:val="21"/>
                <w:highlight w:val="none"/>
                <w:lang w:eastAsia="zh-CN"/>
              </w:rPr>
              <w:t>2017年1月）</w:t>
            </w:r>
            <w:r>
              <w:rPr>
                <w:rFonts w:hint="eastAsia" w:ascii="Times New Roman" w:hAnsi="Times New Roman" w:cs="Times New Roman"/>
                <w:b/>
                <w:bCs/>
                <w:color w:val="auto"/>
                <w:spacing w:val="4"/>
                <w:kern w:val="2"/>
                <w:sz w:val="21"/>
                <w:szCs w:val="21"/>
                <w:highlight w:val="none"/>
                <w:lang w:eastAsia="zh-CN"/>
              </w:rPr>
              <w:t>符合性分析</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为规范非金属矿勘探开发建设项目环境管理，协调经济发展和环境保护的关系，促进非金属矿采选行业有序发展、合理布局和技术进步，根据国家有关环保法律法规和产业政策要求，制定本环境准入条件。</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1）矿石开采须采用湿式凿岩作业方式。矿石转运、破碎、筛分等粉尘产生工序，须配备抑尘、除尘设施，除尘效率不低于99%。矿石、废石堆场须采用洒水抑尘、设置围挡等措施防治无组织粉尘排放。其大气污染物排放须满足《大气污染物综合排放标准》（GB16297）要求，有行业排放标准的执行行业标准。供热设施须满足《大气污染防治行动计划实施方案》要求，各污染物排放满足《锅炉大气污染物排放标准》（GB13271）。</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2）严禁未经处理采矿废水直接排放，禁止利用渗井、渗坑、裂隙和溶洞等排放废水。鼓励将矿坑水优先利用为生产用水，作为辅助水源加以利用，矿井水利用率应达到70%以上。在干旱缺水地区，鼓励将外排矿坑水处理达标后用于农林灌溉，生活污水处理达标后尽量综合利用。</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3）噪声排放执行《工业企业厂界环境噪声排放标准》(GB12348)。</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4）采矿活动产生的固体废物，推广利用采矿固体废物加工生产建筑材料及制品技术，固体废物综合利用率≥30%，无法利用的必须使用专用场所堆放，并采取有效措施防止二次环境污染及诱发次生地质灾害，固体废物处置率100%。废石堆场按《一般工业固体废物贮存、处置场污染控制标准》(GB18599</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要求建设，矿区废石场集中设置、避免同一矿区设置多处废石场。废石按GB5086规定的方法进行浸出及腐蚀性鉴别试验，其结果确定为</w:t>
            </w:r>
            <w:r>
              <w:rPr>
                <w:rFonts w:hint="eastAsia"/>
                <w:color w:val="auto"/>
                <w:spacing w:val="4"/>
                <w:kern w:val="2"/>
                <w:sz w:val="21"/>
                <w:szCs w:val="21"/>
                <w:highlight w:val="none"/>
                <w:lang w:eastAsia="zh-CN"/>
              </w:rPr>
              <w:t>Ⅱ</w:t>
            </w:r>
            <w:r>
              <w:rPr>
                <w:rFonts w:ascii="Times New Roman" w:hAnsi="Times New Roman" w:cs="Times New Roman"/>
                <w:color w:val="auto"/>
                <w:spacing w:val="4"/>
                <w:kern w:val="2"/>
                <w:sz w:val="21"/>
                <w:szCs w:val="21"/>
                <w:highlight w:val="none"/>
                <w:lang w:eastAsia="zh-CN"/>
              </w:rPr>
              <w:t>类一般工业固废的，其堆场采取防渗技术措施。生活垃圾实现100%无害化处置。</w:t>
            </w:r>
          </w:p>
          <w:p>
            <w:pPr>
              <w:pStyle w:val="18"/>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本项目采挖粘土矿用作制砖的原料，不涉及粘土矿的破碎筛分，废水主要是抑尘废水（自然蒸发，不外排），固废不涉及废石，项目符合准入条件。</w:t>
            </w:r>
          </w:p>
          <w:p>
            <w:pPr>
              <w:pStyle w:val="18"/>
              <w:spacing w:line="360" w:lineRule="auto"/>
              <w:rPr>
                <w:rFonts w:ascii="Times New Roman" w:hAnsi="Times New Roman" w:cs="Times New Roman"/>
                <w:color w:val="auto"/>
                <w:sz w:val="21"/>
                <w:szCs w:val="21"/>
                <w:highlight w:val="none"/>
                <w:lang w:eastAsia="zh-CN"/>
              </w:rPr>
            </w:pPr>
            <w:r>
              <w:rPr>
                <w:rFonts w:ascii="Times New Roman" w:hAnsi="Times New Roman" w:cs="Times New Roman"/>
                <w:b/>
                <w:bCs/>
                <w:color w:val="auto"/>
                <w:spacing w:val="4"/>
                <w:kern w:val="2"/>
                <w:sz w:val="21"/>
                <w:szCs w:val="21"/>
                <w:highlight w:val="none"/>
                <w:lang w:eastAsia="zh-CN"/>
              </w:rPr>
              <w:t>6、“三线一单”符合性分析</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1）生态保护红线</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根据《生态保护红线划定技术指南》（生态环境部，</w:t>
            </w:r>
            <w:r>
              <w:rPr>
                <w:rFonts w:ascii="Times New Roman" w:hAnsi="Times New Roman" w:cs="Times New Roman"/>
                <w:color w:val="auto"/>
                <w:sz w:val="21"/>
                <w:szCs w:val="21"/>
                <w:highlight w:val="none"/>
                <w:lang w:eastAsia="zh-CN"/>
              </w:rPr>
              <w:t>2015年5月）中的有关规定，生态保护红线涉及的区域主要包括水源涵养区、水土保持区、防风固沙区、生物多样性维护区</w:t>
            </w:r>
            <w:r>
              <w:rPr>
                <w:rFonts w:hint="eastAsia" w:ascii="Times New Roman" w:hAnsi="Times New Roman" w:cs="Times New Roman"/>
                <w:color w:val="auto"/>
                <w:sz w:val="21"/>
                <w:szCs w:val="21"/>
                <w:highlight w:val="none"/>
                <w:lang w:eastAsia="zh-CN"/>
              </w:rPr>
              <w:t>等</w:t>
            </w:r>
            <w:r>
              <w:rPr>
                <w:rFonts w:ascii="Times New Roman" w:hAnsi="Times New Roman" w:cs="Times New Roman"/>
                <w:color w:val="auto"/>
                <w:sz w:val="21"/>
                <w:szCs w:val="21"/>
                <w:highlight w:val="none"/>
                <w:lang w:eastAsia="zh-CN"/>
              </w:rPr>
              <w:t>陆地重要生态功能区、水土流失敏感区、土地沙化敏感区、石漠化敏感区、高寒生态脆弱区、干旱、半干旱生态脆弱区等陆地生态环境敏感区和脆弱区、国家级自然保护区、世界文化自然遗产、国家级风景名胜区、国家森林公园和国家地质公园等禁止开发区。</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经核实，项目建设地点位于</w:t>
            </w:r>
            <w:r>
              <w:rPr>
                <w:rFonts w:hint="eastAsia" w:ascii="Times New Roman" w:hAnsi="Times New Roman" w:eastAsia="宋体" w:cs="Times New Roman"/>
                <w:color w:val="auto"/>
                <w:sz w:val="21"/>
                <w:szCs w:val="21"/>
                <w:highlight w:val="none"/>
                <w:u w:val="none"/>
                <w:lang w:val="en-US" w:eastAsia="zh-CN" w:bidi="ar-SA"/>
              </w:rPr>
              <w:t>新源县塔勒德镇</w:t>
            </w:r>
            <w:r>
              <w:rPr>
                <w:rFonts w:ascii="Times New Roman" w:hAnsi="Times New Roman" w:cs="Times New Roman"/>
                <w:color w:val="auto"/>
                <w:sz w:val="21"/>
                <w:szCs w:val="21"/>
                <w:highlight w:val="none"/>
                <w:lang w:eastAsia="zh-CN"/>
              </w:rPr>
              <w:t>，项目用地</w:t>
            </w:r>
            <w:r>
              <w:rPr>
                <w:rFonts w:hint="eastAsia" w:ascii="Times New Roman" w:hAnsi="Times New Roman" w:cs="Times New Roman"/>
                <w:color w:val="auto"/>
                <w:sz w:val="21"/>
                <w:szCs w:val="21"/>
                <w:highlight w:val="none"/>
                <w:lang w:eastAsia="zh-CN"/>
              </w:rPr>
              <w:t>不</w:t>
            </w:r>
            <w:r>
              <w:rPr>
                <w:rFonts w:ascii="Times New Roman" w:hAnsi="Times New Roman" w:cs="Times New Roman"/>
                <w:color w:val="auto"/>
                <w:sz w:val="21"/>
                <w:szCs w:val="21"/>
                <w:highlight w:val="none"/>
                <w:lang w:eastAsia="zh-CN"/>
              </w:rPr>
              <w:t>涉及以上区域，不在生态红线范围内。</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2）环境质量底线</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项目运营期污染物排放均有相应的环境保护治理措施，能实现达标排放，项目建设不会加剧环境质量的恶化。所以本项目的建设符合环境质量底线的管控要求。</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3）资源利用上线</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项目占用土地资源较少，不存在大负荷用电、用水、燃气等消耗资源的情况，符合资源利用上线的要求。</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4）生态环境准入清单</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根据《新疆维吾尔自治区</w:t>
            </w:r>
            <w:r>
              <w:rPr>
                <w:rFonts w:ascii="Times New Roman" w:hAnsi="Times New Roman" w:cs="Times New Roman"/>
                <w:color w:val="auto"/>
                <w:sz w:val="21"/>
                <w:szCs w:val="21"/>
                <w:highlight w:val="none"/>
                <w:lang w:eastAsia="zh-CN"/>
              </w:rPr>
              <w:t>28个生态功能区县（市）产业准入负面清单（试行）</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新疆维吾尔自治区17个新增纳入国家重点生态功能区县（市）产业准入负面清单（试行）》的相关内容，本项目不属于禁止类及限制类项目。</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由此可知，本项目的建设与“三线一单”无相悖之处，符合其管控要求。</w:t>
            </w:r>
          </w:p>
          <w:p>
            <w:pPr>
              <w:pStyle w:val="18"/>
              <w:spacing w:line="360" w:lineRule="auto"/>
              <w:rPr>
                <w:rFonts w:ascii="Times New Roman" w:hAnsi="Times New Roman" w:cs="Times New Roman"/>
                <w:b/>
                <w:bCs/>
                <w:color w:val="auto"/>
                <w:spacing w:val="4"/>
                <w:kern w:val="2"/>
                <w:sz w:val="21"/>
                <w:szCs w:val="21"/>
                <w:highlight w:val="none"/>
                <w:lang w:eastAsia="zh-CN"/>
              </w:rPr>
            </w:pPr>
            <w:r>
              <w:rPr>
                <w:rFonts w:ascii="Times New Roman" w:hAnsi="Times New Roman" w:cs="Times New Roman"/>
                <w:b/>
                <w:bCs/>
                <w:color w:val="auto"/>
                <w:spacing w:val="4"/>
                <w:kern w:val="2"/>
                <w:sz w:val="21"/>
                <w:szCs w:val="21"/>
                <w:highlight w:val="none"/>
                <w:lang w:eastAsia="zh-CN"/>
              </w:rPr>
              <w:t>7</w:t>
            </w:r>
            <w:r>
              <w:rPr>
                <w:rFonts w:hint="eastAsia" w:ascii="Times New Roman" w:hAnsi="Times New Roman" w:cs="Times New Roman"/>
                <w:b/>
                <w:bCs/>
                <w:color w:val="auto"/>
                <w:spacing w:val="4"/>
                <w:kern w:val="2"/>
                <w:sz w:val="21"/>
                <w:szCs w:val="21"/>
                <w:highlight w:val="none"/>
                <w:lang w:eastAsia="zh-CN"/>
              </w:rPr>
              <w:t>、</w:t>
            </w:r>
            <w:r>
              <w:rPr>
                <w:rFonts w:ascii="Times New Roman" w:hAnsi="Times New Roman" w:cs="Times New Roman"/>
                <w:b/>
                <w:bCs/>
                <w:color w:val="auto"/>
                <w:spacing w:val="4"/>
                <w:kern w:val="2"/>
                <w:sz w:val="21"/>
                <w:szCs w:val="21"/>
                <w:highlight w:val="none"/>
                <w:lang w:eastAsia="zh-CN"/>
              </w:rPr>
              <w:t>与伊犁州</w:t>
            </w:r>
            <w:r>
              <w:rPr>
                <w:rFonts w:hint="eastAsia" w:ascii="Times New Roman" w:hAnsi="Times New Roman" w:cs="Times New Roman"/>
                <w:b/>
                <w:bCs/>
                <w:color w:val="auto"/>
                <w:spacing w:val="4"/>
                <w:kern w:val="2"/>
                <w:sz w:val="21"/>
                <w:szCs w:val="21"/>
                <w:highlight w:val="none"/>
                <w:lang w:eastAsia="zh-CN"/>
              </w:rPr>
              <w:t>直</w:t>
            </w:r>
            <w:r>
              <w:rPr>
                <w:rFonts w:ascii="Times New Roman" w:hAnsi="Times New Roman" w:cs="Times New Roman"/>
                <w:b/>
                <w:bCs/>
                <w:color w:val="auto"/>
                <w:spacing w:val="4"/>
                <w:kern w:val="2"/>
                <w:sz w:val="21"/>
                <w:szCs w:val="21"/>
                <w:highlight w:val="none"/>
                <w:lang w:eastAsia="zh-CN"/>
              </w:rPr>
              <w:t>“三线一单”符合性分析</w:t>
            </w:r>
          </w:p>
          <w:p>
            <w:pPr>
              <w:pStyle w:val="18"/>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根据《伊犁州直区域空间生态评价暨“三线一单”生态环境准入清单》（2021年6月），尼勒克县共划定1</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lang w:eastAsia="zh-CN"/>
              </w:rPr>
              <w:t>个管控单元，其中：优先保护单元</w:t>
            </w:r>
            <w:r>
              <w:rPr>
                <w:rFonts w:hint="eastAsia"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lang w:eastAsia="zh-CN"/>
              </w:rPr>
              <w:t>个，重点管控单元</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eastAsia="zh-CN"/>
              </w:rPr>
              <w:t>个，一般管控单元</w:t>
            </w: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eastAsia="zh-CN"/>
              </w:rPr>
              <w:t>个。</w:t>
            </w:r>
          </w:p>
          <w:p>
            <w:pPr>
              <w:pStyle w:val="4"/>
              <w:pageBreakBefore w:val="0"/>
              <w:widowControl w:val="0"/>
              <w:kinsoku/>
              <w:wordWrap/>
              <w:overflowPunct/>
              <w:topLinePunct w:val="0"/>
              <w:autoSpaceDE/>
              <w:autoSpaceDN/>
              <w:bidi w:val="0"/>
              <w:adjustRightInd/>
              <w:snapToGrid/>
              <w:spacing w:before="0" w:after="0" w:line="360" w:lineRule="auto"/>
              <w:ind w:firstLine="422" w:firstLineChars="20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根据《</w:t>
            </w:r>
            <w:r>
              <w:rPr>
                <w:rFonts w:hint="default" w:ascii="Times New Roman" w:hAnsi="Times New Roman" w:eastAsia="宋体" w:cs="Times New Roman"/>
                <w:color w:val="auto"/>
                <w:sz w:val="21"/>
                <w:szCs w:val="21"/>
                <w:highlight w:val="none"/>
                <w:lang w:eastAsia="zh-CN"/>
              </w:rPr>
              <w:t>伊犁州直区域空间生态评价暨“三线一单”生态环境准入清单</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新源</w:t>
            </w:r>
            <w:r>
              <w:rPr>
                <w:rFonts w:hint="default" w:ascii="Times New Roman" w:hAnsi="Times New Roman" w:eastAsia="宋体" w:cs="Times New Roman"/>
                <w:color w:val="auto"/>
                <w:sz w:val="21"/>
                <w:szCs w:val="21"/>
                <w:highlight w:val="none"/>
                <w:lang w:val="en-US" w:eastAsia="zh-CN"/>
              </w:rPr>
              <w:t>县生态环境准入清单如下表。</w:t>
            </w:r>
          </w:p>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1"/>
                <w:szCs w:val="21"/>
                <w:highlight w:val="none"/>
                <w:lang w:val="en-US" w:eastAsia="zh-CN"/>
              </w:rPr>
            </w:pPr>
          </w:p>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1"/>
                <w:szCs w:val="21"/>
                <w:highlight w:val="none"/>
                <w:lang w:val="en-US" w:eastAsia="zh-CN"/>
              </w:rPr>
            </w:pPr>
          </w:p>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表1-</w:t>
            </w:r>
            <w:r>
              <w:rPr>
                <w:rFonts w:hint="eastAsia" w:ascii="Times New Roman" w:hAnsi="Times New Roman" w:eastAsia="宋体" w:cs="Times New Roman"/>
                <w:b/>
                <w:bCs/>
                <w:color w:val="auto"/>
                <w:sz w:val="21"/>
                <w:szCs w:val="21"/>
                <w:highlight w:val="none"/>
                <w:lang w:val="en-US" w:eastAsia="zh-CN"/>
              </w:rPr>
              <w:t>1</w:t>
            </w:r>
            <w:r>
              <w:rPr>
                <w:rFonts w:hint="default" w:ascii="Times New Roman" w:hAnsi="Times New Roman" w:eastAsia="宋体" w:cs="Times New Roman"/>
                <w:b/>
                <w:bCs/>
                <w:color w:val="auto"/>
                <w:sz w:val="21"/>
                <w:szCs w:val="21"/>
                <w:highlight w:val="none"/>
                <w:lang w:val="en-US" w:eastAsia="zh-CN"/>
              </w:rPr>
              <w:t xml:space="preserve">  </w:t>
            </w:r>
            <w:r>
              <w:rPr>
                <w:rFonts w:hint="eastAsia" w:ascii="Times New Roman" w:hAnsi="Times New Roman" w:eastAsia="宋体" w:cs="Times New Roman"/>
                <w:b/>
                <w:bCs/>
                <w:color w:val="auto"/>
                <w:sz w:val="21"/>
                <w:szCs w:val="21"/>
                <w:highlight w:val="none"/>
                <w:lang w:val="en-US" w:eastAsia="zh-CN"/>
              </w:rPr>
              <w:t xml:space="preserve">  新源</w:t>
            </w:r>
            <w:r>
              <w:rPr>
                <w:rFonts w:hint="default" w:ascii="Times New Roman" w:hAnsi="Times New Roman" w:eastAsia="宋体" w:cs="Times New Roman"/>
                <w:b/>
                <w:bCs/>
                <w:color w:val="auto"/>
                <w:sz w:val="21"/>
                <w:szCs w:val="21"/>
                <w:highlight w:val="none"/>
                <w:lang w:val="en-US" w:eastAsia="zh-CN"/>
              </w:rPr>
              <w:t>县生态环境准入清单（部分）</w:t>
            </w:r>
          </w:p>
          <w:tbl>
            <w:tblPr>
              <w:tblStyle w:val="15"/>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067"/>
              <w:gridCol w:w="1067"/>
              <w:gridCol w:w="314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51" w:type="dxa"/>
                  <w:vAlign w:val="top"/>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单元编码</w:t>
                  </w:r>
                </w:p>
              </w:tc>
              <w:tc>
                <w:tcPr>
                  <w:tcW w:w="1067" w:type="dxa"/>
                  <w:vAlign w:val="top"/>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单元名称</w:t>
                  </w:r>
                </w:p>
              </w:tc>
              <w:tc>
                <w:tcPr>
                  <w:tcW w:w="1067" w:type="dxa"/>
                  <w:vAlign w:val="top"/>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单元属性</w:t>
                  </w:r>
                </w:p>
              </w:tc>
              <w:tc>
                <w:tcPr>
                  <w:tcW w:w="3147" w:type="dxa"/>
                  <w:vAlign w:val="top"/>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单元特征</w:t>
                  </w:r>
                </w:p>
              </w:tc>
              <w:tc>
                <w:tcPr>
                  <w:tcW w:w="1566" w:type="dxa"/>
                  <w:vAlign w:val="top"/>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环境要素属性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jc w:val="center"/>
              </w:trPr>
              <w:tc>
                <w:tcPr>
                  <w:tcW w:w="1651" w:type="dxa"/>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bidi="ar-SA"/>
                    </w:rPr>
                    <w:t>ZH65402530001</w:t>
                  </w:r>
                </w:p>
              </w:tc>
              <w:tc>
                <w:tcPr>
                  <w:tcW w:w="1067" w:type="dxa"/>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bidi="ar-SA"/>
                    </w:rPr>
                    <w:t>新源县一般管控单元01</w:t>
                  </w:r>
                </w:p>
              </w:tc>
              <w:tc>
                <w:tcPr>
                  <w:tcW w:w="1067" w:type="dxa"/>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一般</w:t>
                  </w:r>
                  <w:r>
                    <w:rPr>
                      <w:rFonts w:hint="default" w:ascii="Times New Roman" w:hAnsi="Times New Roman" w:eastAsia="宋体" w:cs="Times New Roman"/>
                      <w:b w:val="0"/>
                      <w:bCs w:val="0"/>
                      <w:color w:val="auto"/>
                      <w:sz w:val="21"/>
                      <w:szCs w:val="21"/>
                      <w:highlight w:val="none"/>
                      <w:lang w:val="en-US" w:eastAsia="zh-CN"/>
                    </w:rPr>
                    <w:t>管控单元</w:t>
                  </w:r>
                </w:p>
              </w:tc>
              <w:tc>
                <w:tcPr>
                  <w:tcW w:w="3147" w:type="dxa"/>
                  <w:vAlign w:val="top"/>
                </w:tcPr>
                <w:p>
                  <w:pPr>
                    <w:keepNext w:val="0"/>
                    <w:keepLines w:val="0"/>
                    <w:widowControl/>
                    <w:suppressLineNumbers w:val="0"/>
                    <w:jc w:val="left"/>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bidi="ar-SA"/>
                    </w:rPr>
                    <w:t>该管控单元为农田、农村居住区一般管控区，不包含新源县县城，大致沿G218、S316两侧分布，贯穿东西，涉及新源县阿热勒托别镇坎苏沟引泉工程地下水源地（地下水型、乡镇级）、新源县阿热勒托别镇现有引泉工程地下水源地（地下水型、乡镇级）、新源县塔勒德镇默斯登沟引泉工程地下水源地（地下水型、乡镇级）、喀拉布拉镇地下水源地（地下水型、乡镇级）、巴依赛沟地表水源地（地下水型、乡镇级）、塔勒德镇塔勒德村饮用水水源地（地下水型、乡镇级）、木斯镇农村饮用水源地（地下水型、乡镇级）。</w:t>
                  </w:r>
                </w:p>
              </w:tc>
              <w:tc>
                <w:tcPr>
                  <w:tcW w:w="1566" w:type="dxa"/>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bidi="ar-SA"/>
                    </w:rPr>
                    <w:t>大气环境弱扩散区重点管控区、水环境一般管控区（部分涉及水环境优先保护区）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651" w:type="dxa"/>
                  <w:vAlign w:val="top"/>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管控维度</w:t>
                  </w:r>
                </w:p>
              </w:tc>
              <w:tc>
                <w:tcPr>
                  <w:tcW w:w="6847" w:type="dxa"/>
                  <w:gridSpan w:val="4"/>
                  <w:vAlign w:val="top"/>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51" w:type="dxa"/>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空间布局约束</w:t>
                  </w:r>
                </w:p>
              </w:tc>
              <w:tc>
                <w:tcPr>
                  <w:tcW w:w="6847" w:type="dxa"/>
                  <w:gridSpan w:val="4"/>
                  <w:vAlign w:val="top"/>
                </w:tcPr>
                <w:p>
                  <w:pPr>
                    <w:pStyle w:val="18"/>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bidi="ar-SA"/>
                    </w:rPr>
                    <w:t>1.禁止新建10蒸吨以下锅炉。</w:t>
                  </w:r>
                  <w:r>
                    <w:rPr>
                      <w:rFonts w:hint="eastAsia" w:ascii="Times New Roman" w:hAnsi="Times New Roman" w:eastAsia="宋体" w:cs="Times New Roman"/>
                      <w:b w:val="0"/>
                      <w:bCs w:val="0"/>
                      <w:color w:val="auto"/>
                      <w:sz w:val="21"/>
                      <w:szCs w:val="21"/>
                      <w:highlight w:val="none"/>
                      <w:lang w:val="en-US" w:eastAsia="zh-CN" w:bidi="ar-SA"/>
                    </w:rPr>
                    <w:br w:type="textWrapping"/>
                  </w:r>
                  <w:r>
                    <w:rPr>
                      <w:rFonts w:hint="eastAsia" w:ascii="Times New Roman" w:hAnsi="Times New Roman" w:eastAsia="宋体" w:cs="Times New Roman"/>
                      <w:b w:val="0"/>
                      <w:bCs w:val="0"/>
                      <w:color w:val="auto"/>
                      <w:sz w:val="21"/>
                      <w:szCs w:val="21"/>
                      <w:highlight w:val="none"/>
                      <w:lang w:val="en-US" w:eastAsia="zh-CN" w:bidi="ar-SA"/>
                    </w:rPr>
                    <w:t>2.杜绝“散乱污”企业项目建设和已取缔的“散乱污”企业异地转移。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51" w:type="dxa"/>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符合性分析</w:t>
                  </w:r>
                </w:p>
              </w:tc>
              <w:tc>
                <w:tcPr>
                  <w:tcW w:w="6847" w:type="dxa"/>
                  <w:gridSpan w:val="4"/>
                  <w:vAlign w:val="top"/>
                </w:tcPr>
                <w:p>
                  <w:pPr>
                    <w:keepNext w:val="0"/>
                    <w:keepLines w:val="0"/>
                    <w:widowControl/>
                    <w:suppressLineNumbers w:val="0"/>
                    <w:jc w:val="left"/>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本项目不新建锅炉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651" w:type="dxa"/>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污染物排</w:t>
                  </w: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放管控</w:t>
                  </w:r>
                </w:p>
              </w:tc>
              <w:tc>
                <w:tcPr>
                  <w:tcW w:w="6847" w:type="dxa"/>
                  <w:gridSpan w:val="4"/>
                  <w:vAlign w:val="top"/>
                </w:tcPr>
                <w:p>
                  <w:pPr>
                    <w:rPr>
                      <w:rFonts w:hint="default"/>
                      <w:color w:val="auto"/>
                      <w:sz w:val="21"/>
                      <w:szCs w:val="21"/>
                      <w:highlight w:val="none"/>
                      <w:lang w:val="en-US" w:eastAsia="zh-CN"/>
                    </w:rPr>
                  </w:pPr>
                  <w:r>
                    <w:rPr>
                      <w:rFonts w:hint="eastAsia"/>
                      <w:color w:val="auto"/>
                      <w:sz w:val="21"/>
                      <w:szCs w:val="21"/>
                      <w:highlight w:val="none"/>
                      <w:lang w:val="en-US" w:eastAsia="zh-CN"/>
                    </w:rPr>
                    <w:t>1.禁止向河流、湖泊、水库、池塘、沟渠等排放养殖畜禽的粪便，丢弃畜禽尸体，倾倒垃圾和其他废弃物。</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2.禁止露天焚烧农作物秸秆和田间杂草。</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3.加强秸秆综合利用，鼓励秸秆资源化、饲料化、肥料化利用，推动秸秆还田与离田收集。</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4.实施农药减量控害，扩大生物农药、高效低毒低残留农药推广应用，逐步淘汰高毒农药。</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5.深入实施测土配方施肥，推广精准、高效施肥技术。减少化肥农药施用量，增加有机肥使用量，调整氮肥结构，改进施肥方式，减少农田氨排放。</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6.及时清理、回收农药、化肥等包装物和农用薄膜、育苗器具等农业废弃包装物，并将废弃包装物交由专门机构或者组织进行无害化处理或综合利用。</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7.严格执行《畜禽养殖业污染防治技术规范》《关于畜禽养殖适养区</w:t>
                  </w:r>
                </w:p>
                <w:p>
                  <w:pPr>
                    <w:rPr>
                      <w:rFonts w:hint="default" w:ascii="Times New Roman" w:hAnsi="Times New Roman" w:eastAsia="宋体" w:cs="Times New Roman"/>
                      <w:color w:val="auto"/>
                      <w:sz w:val="21"/>
                      <w:szCs w:val="21"/>
                      <w:highlight w:val="none"/>
                      <w:lang w:val="en-US" w:eastAsia="zh-CN"/>
                    </w:rPr>
                  </w:pPr>
                  <w:r>
                    <w:rPr>
                      <w:rFonts w:hint="eastAsia"/>
                      <w:color w:val="auto"/>
                      <w:sz w:val="21"/>
                      <w:szCs w:val="21"/>
                      <w:highlight w:val="none"/>
                      <w:lang w:val="en-US" w:eastAsia="zh-CN"/>
                    </w:rPr>
                    <w:t>、限养区和禁养区的划分范围及标准》《畜禽规模养殖污染防治条例》，做好畜禽养殖污染防治工作。</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8.适养区、限养区的养殖场（小区）要根据污染防治需要，配套建设粪便污水贮存、处理、利用设施，改进设施养殖工艺，完善技术装备条件。新建、改建、扩建规模化养殖场（小区）要实施雨污分流、粪便污水资源化利用。</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9.强化畜禽粪污资源化利用，提高畜禽粪污综合利用率，减少氨挥发排放。</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10.加快污水收集处理设施建设，所截生活污水尽量纳入城镇生活污水处理系统进行处理。污水处理系统难以覆盖的，因地制宜建设分散处理设施，出水执行《农村生活污水处理排放标准（DB654275-2019）》。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651" w:type="dxa"/>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符合性分析</w:t>
                  </w:r>
                </w:p>
              </w:tc>
              <w:tc>
                <w:tcPr>
                  <w:tcW w:w="6847" w:type="dxa"/>
                  <w:gridSpan w:val="4"/>
                  <w:vAlign w:val="top"/>
                </w:tcPr>
                <w:p>
                  <w:pPr>
                    <w:pageBreakBefore w:val="0"/>
                    <w:widowControl w:val="0"/>
                    <w:numPr>
                      <w:ilvl w:val="0"/>
                      <w:numId w:val="0"/>
                    </w:numPr>
                    <w:kinsoku/>
                    <w:wordWrap/>
                    <w:overflowPunct/>
                    <w:topLinePunct w:val="0"/>
                    <w:bidi w:val="0"/>
                    <w:adjustRightInd/>
                    <w:snapToGrid/>
                    <w:spacing w:line="240" w:lineRule="auto"/>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本项目不存在上述情况，项目无生产废水产生，生活污水排入防渗化粪池，定期清掏拉运。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651" w:type="dxa"/>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环境风险防控</w:t>
                  </w:r>
                </w:p>
              </w:tc>
              <w:tc>
                <w:tcPr>
                  <w:tcW w:w="6847" w:type="dxa"/>
                  <w:gridSpan w:val="4"/>
                  <w:vAlign w:val="top"/>
                </w:tcPr>
                <w:p>
                  <w:pPr>
                    <w:keepNext w:val="0"/>
                    <w:keepLines w:val="0"/>
                    <w:widowControl/>
                    <w:suppressLineNumbers w:val="0"/>
                    <w:jc w:val="left"/>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bidi="ar-SA"/>
                    </w:rPr>
                    <w:t>1.严格防范环境健康风险。加强养殖投入品管理，依法依规、限制使用抗生素、激素等化学药品。严格控制环境激素类化学品污染。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651" w:type="dxa"/>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符合性分析</w:t>
                  </w:r>
                </w:p>
              </w:tc>
              <w:tc>
                <w:tcPr>
                  <w:tcW w:w="6847" w:type="dxa"/>
                  <w:gridSpan w:val="4"/>
                  <w:vAlign w:val="top"/>
                </w:tcPr>
                <w:p>
                  <w:pPr>
                    <w:pStyle w:val="27"/>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本项目不涉及在上情况。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1651" w:type="dxa"/>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资源利用效率</w:t>
                  </w:r>
                </w:p>
              </w:tc>
              <w:tc>
                <w:tcPr>
                  <w:tcW w:w="6847" w:type="dxa"/>
                  <w:gridSpan w:val="4"/>
                  <w:vAlign w:val="top"/>
                </w:tcPr>
                <w:p>
                  <w:pPr>
                    <w:keepNext w:val="0"/>
                    <w:keepLines w:val="0"/>
                    <w:widowControl/>
                    <w:suppressLineNumbers w:val="0"/>
                    <w:jc w:val="left"/>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bidi="ar-SA"/>
                    </w:rPr>
                    <w:t>1.推广渠道防渗、管道输水、喷灌、微灌等节水灌溉技术，完善灌溉用水计量设施。大力推进规模化高效节水灌溉，推广农作物节水抗旱技术。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651" w:type="dxa"/>
                  <w:vAlign w:val="center"/>
                </w:tcPr>
                <w:p>
                  <w:pPr>
                    <w:keepNext w:val="0"/>
                    <w:keepLines w:val="0"/>
                    <w:widowControl/>
                    <w:numPr>
                      <w:ilvl w:val="0"/>
                      <w:numId w:val="0"/>
                    </w:numPr>
                    <w:suppressLineNumbers w:val="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符合性分析</w:t>
                  </w:r>
                </w:p>
              </w:tc>
              <w:tc>
                <w:tcPr>
                  <w:tcW w:w="6847" w:type="dxa"/>
                  <w:gridSpan w:val="4"/>
                  <w:vAlign w:val="top"/>
                </w:tcPr>
                <w:p>
                  <w:pPr>
                    <w:pStyle w:val="5"/>
                    <w:numPr>
                      <w:ilvl w:val="0"/>
                      <w:numId w:val="0"/>
                    </w:numP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本项目不涉及上述情况。</w:t>
                  </w:r>
                </w:p>
              </w:tc>
            </w:tr>
          </w:tbl>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经核实，本项目不涉及新源县一般环境管控单元</w:t>
            </w:r>
            <w:r>
              <w:rPr>
                <w:rFonts w:ascii="Times New Roman" w:hAnsi="Times New Roman" w:cs="Times New Roman"/>
                <w:color w:val="auto"/>
                <w:sz w:val="21"/>
                <w:szCs w:val="21"/>
                <w:highlight w:val="none"/>
                <w:lang w:eastAsia="zh-CN"/>
              </w:rPr>
              <w:t>01的禁入清单情形。项目在伊犁州直“三线一单”生态环境分区管控图的位置示意，见附图1。</w:t>
            </w:r>
          </w:p>
          <w:p>
            <w:pPr>
              <w:pStyle w:val="29"/>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bCs/>
                <w:color w:val="auto"/>
                <w:sz w:val="21"/>
                <w:szCs w:val="21"/>
                <w:highlight w:val="none"/>
              </w:rPr>
            </w:pPr>
            <w:r>
              <w:rPr>
                <w:rFonts w:hint="eastAsia" w:ascii="Times New Roman" w:hAnsi="Times New Roman" w:cs="Times New Roman"/>
                <w:b/>
                <w:bCs/>
                <w:color w:val="auto"/>
                <w:sz w:val="21"/>
                <w:szCs w:val="21"/>
                <w:highlight w:val="none"/>
                <w:lang w:val="en-US" w:eastAsia="zh-CN"/>
              </w:rPr>
              <w:t>8、</w:t>
            </w:r>
            <w:r>
              <w:rPr>
                <w:rFonts w:hint="default" w:ascii="Times New Roman" w:hAnsi="Times New Roman" w:eastAsia="宋体" w:cs="Times New Roman"/>
                <w:b/>
                <w:bCs/>
                <w:color w:val="auto"/>
                <w:sz w:val="21"/>
                <w:szCs w:val="21"/>
                <w:highlight w:val="none"/>
              </w:rPr>
              <w:t>与《新疆生态环境保护</w:t>
            </w:r>
            <w:r>
              <w:rPr>
                <w:rFonts w:hint="eastAsia"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rPr>
              <w:t>十四五</w:t>
            </w:r>
            <w:r>
              <w:rPr>
                <w:rFonts w:hint="eastAsia"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rPr>
              <w:t>规划》符合性分析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uto"/>
              <w:ind w:left="0" w:right="0" w:firstLine="42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新疆生态环境保护“十四五”规划》指出：“实施最严格的生态保护制度。坚决遏制“两高”项目盲目发展，严格执行能源、矿产资源开发自治区人民政府“一支笔”审批制度、环境保护“一票否决”制度，落实“三线一单”生态环境分区管控要求，守住生态保护红线、环境质量底线和资源利用上线，实施生态环境准入清单管控。落实最严格的水资源管理制度，科学确定水资源承载能力，严格实行区域用水总量和强度控制，强化节水约束性指标管理。强化地下水超采治理；健全国土空间开发保护制度。完善国土空间规划体系，划定并严格落实“三区三线”，明晰生态、农业、城镇三类空间及生态保护红线、永久基本农田、城镇开发边界三条控制线，持续优化城市化地区、农产品产区、生态功能区布局。合理确定新增建设用地规模，严格控制建设项目土地使用标准，提高资源利用效率。强化国土空间用途管制，对国土空间分级分类实施管控，推动形成优势互补、绿色低碳、高质量发展的区域经济布局。严格落实国家绿色产业指导目录标准，依法依规把好土地审批供应关，加强建设用地准入监管。全面推进绿色矿山建设，规范绿色矿山第三方评估，推广矿产资源节约与综合利用先进技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uto"/>
              <w:ind w:left="0" w:right="0" w:firstLine="42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“推进扬尘精细化管控。全面推行绿色施工，城市建成区建筑工地扬尘防控标准化管理全覆盖</w:t>
            </w:r>
            <w:r>
              <w:rPr>
                <w:rFonts w:hint="eastAsia" w:ascii="Times New Roman" w:hAnsi="Times New Roman" w:cs="Times New Roman"/>
                <w:color w:val="auto"/>
                <w:kern w:val="0"/>
                <w:sz w:val="21"/>
                <w:szCs w:val="21"/>
                <w:highlight w:val="none"/>
                <w:lang w:val="en-US" w:eastAsia="zh-CN" w:bidi="ar-SA"/>
              </w:rPr>
              <w:t>；</w:t>
            </w:r>
            <w:r>
              <w:rPr>
                <w:rFonts w:hint="eastAsia" w:ascii="Times New Roman" w:hAnsi="Times New Roman" w:eastAsia="宋体" w:cs="Times New Roman"/>
                <w:color w:val="auto"/>
                <w:kern w:val="0"/>
                <w:sz w:val="21"/>
                <w:szCs w:val="21"/>
                <w:highlight w:val="none"/>
                <w:lang w:val="en-US" w:eastAsia="zh-CN" w:bidi="ar-SA"/>
              </w:rPr>
              <w:t>加强城市道路清扫保洁和洒水抑尘，渣土车实施硬覆盖</w:t>
            </w:r>
            <w:r>
              <w:rPr>
                <w:rFonts w:hint="eastAsia" w:ascii="Times New Roman" w:hAnsi="Times New Roman" w:cs="Times New Roman"/>
                <w:color w:val="auto"/>
                <w:kern w:val="0"/>
                <w:sz w:val="21"/>
                <w:szCs w:val="21"/>
                <w:highlight w:val="none"/>
                <w:lang w:val="en-US" w:eastAsia="zh-CN" w:bidi="ar-SA"/>
              </w:rPr>
              <w:t>；</w:t>
            </w:r>
            <w:r>
              <w:rPr>
                <w:rFonts w:hint="eastAsia" w:ascii="Times New Roman" w:hAnsi="Times New Roman" w:eastAsia="宋体" w:cs="Times New Roman"/>
                <w:color w:val="auto"/>
                <w:kern w:val="0"/>
                <w:sz w:val="21"/>
                <w:szCs w:val="21"/>
                <w:highlight w:val="none"/>
                <w:lang w:val="en-US" w:eastAsia="zh-CN" w:bidi="ar-SA"/>
              </w:rPr>
              <w:t>推进低尘机械化作业水平，控制道路扬尘污染</w:t>
            </w:r>
            <w:r>
              <w:rPr>
                <w:rFonts w:hint="eastAsia" w:ascii="Times New Roman" w:hAnsi="Times New Roman" w:cs="Times New Roman"/>
                <w:color w:val="auto"/>
                <w:kern w:val="0"/>
                <w:sz w:val="21"/>
                <w:szCs w:val="21"/>
                <w:highlight w:val="none"/>
                <w:lang w:val="en-US" w:eastAsia="zh-CN" w:bidi="ar-SA"/>
              </w:rPr>
              <w:t>；</w:t>
            </w:r>
            <w:r>
              <w:rPr>
                <w:rFonts w:hint="eastAsia" w:ascii="Times New Roman" w:hAnsi="Times New Roman" w:eastAsia="宋体" w:cs="Times New Roman"/>
                <w:color w:val="auto"/>
                <w:kern w:val="0"/>
                <w:sz w:val="21"/>
                <w:szCs w:val="21"/>
                <w:highlight w:val="none"/>
                <w:lang w:val="en-US" w:eastAsia="zh-CN" w:bidi="ar-SA"/>
              </w:rPr>
              <w:t>强化非道路移动源综合治理</w:t>
            </w:r>
            <w:r>
              <w:rPr>
                <w:rFonts w:hint="eastAsia" w:ascii="Times New Roman" w:hAnsi="Times New Roman" w:cs="Times New Roman"/>
                <w:color w:val="auto"/>
                <w:kern w:val="0"/>
                <w:sz w:val="21"/>
                <w:szCs w:val="21"/>
                <w:highlight w:val="none"/>
                <w:lang w:val="en-US" w:eastAsia="zh-CN" w:bidi="ar-SA"/>
              </w:rPr>
              <w:t>；</w:t>
            </w:r>
            <w:r>
              <w:rPr>
                <w:rFonts w:hint="eastAsia" w:ascii="Times New Roman" w:hAnsi="Times New Roman" w:eastAsia="宋体" w:cs="Times New Roman"/>
                <w:color w:val="auto"/>
                <w:kern w:val="0"/>
                <w:sz w:val="21"/>
                <w:szCs w:val="21"/>
                <w:highlight w:val="none"/>
                <w:lang w:val="en-US" w:eastAsia="zh-CN" w:bidi="ar-SA"/>
              </w:rPr>
              <w:t>充分运用新型、高效的防尘、降尘、除尘技术，加强矿山粉尘治理。”</w:t>
            </w:r>
          </w:p>
          <w:p>
            <w:pPr>
              <w:keepNext w:val="0"/>
              <w:keepLines w:val="0"/>
              <w:pageBreakBefore w:val="0"/>
              <w:kinsoku/>
              <w:wordWrap/>
              <w:overflowPunct/>
              <w:topLinePunct w:val="0"/>
              <w:autoSpaceDE w:val="0"/>
              <w:autoSpaceDN w:val="0"/>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项目</w:t>
            </w:r>
            <w:r>
              <w:rPr>
                <w:rFonts w:hint="eastAsia" w:ascii="Times New Roman" w:hAnsi="Times New Roman" w:cs="Times New Roman"/>
                <w:color w:val="auto"/>
                <w:kern w:val="0"/>
                <w:sz w:val="21"/>
                <w:szCs w:val="21"/>
                <w:highlight w:val="none"/>
                <w:lang w:val="en-US" w:eastAsia="zh-CN" w:bidi="ar-SA"/>
              </w:rPr>
              <w:t>占地</w:t>
            </w:r>
            <w:r>
              <w:rPr>
                <w:rFonts w:hint="eastAsia" w:ascii="Times New Roman" w:hAnsi="Times New Roman" w:eastAsia="宋体" w:cs="Times New Roman"/>
                <w:color w:val="auto"/>
                <w:kern w:val="0"/>
                <w:sz w:val="21"/>
                <w:szCs w:val="21"/>
                <w:highlight w:val="none"/>
                <w:lang w:val="en-US" w:eastAsia="zh-CN" w:bidi="ar-SA"/>
              </w:rPr>
              <w:t>不涉及自然保护区、风景名胜区、饮用水源保护区、冰川、森林、湿地、基本农田、基本草原等环境敏感区，项目的建设不涉及</w:t>
            </w:r>
            <w:r>
              <w:rPr>
                <w:rFonts w:hint="eastAsia" w:ascii="Times New Roman" w:hAnsi="Times New Roman" w:cs="Times New Roman"/>
                <w:color w:val="auto"/>
                <w:kern w:val="0"/>
                <w:sz w:val="21"/>
                <w:szCs w:val="21"/>
                <w:highlight w:val="none"/>
                <w:lang w:val="en-US" w:eastAsia="zh-CN" w:bidi="ar-SA"/>
              </w:rPr>
              <w:t>新源县</w:t>
            </w:r>
            <w:r>
              <w:rPr>
                <w:rFonts w:hint="eastAsia" w:ascii="Times New Roman" w:hAnsi="Times New Roman" w:eastAsia="宋体" w:cs="Times New Roman"/>
                <w:color w:val="auto"/>
                <w:kern w:val="0"/>
                <w:sz w:val="21"/>
                <w:szCs w:val="21"/>
                <w:highlight w:val="none"/>
                <w:lang w:val="en-US" w:eastAsia="zh-CN" w:bidi="ar-SA"/>
              </w:rPr>
              <w:t>生态保护红线。本项目</w:t>
            </w:r>
            <w:r>
              <w:rPr>
                <w:rFonts w:hint="eastAsia" w:ascii="Times New Roman" w:hAnsi="Times New Roman" w:cs="Times New Roman"/>
                <w:color w:val="auto"/>
                <w:sz w:val="21"/>
                <w:szCs w:val="21"/>
                <w:highlight w:val="none"/>
                <w:lang w:eastAsia="zh-CN"/>
              </w:rPr>
              <w:t>不存在大负荷用电、用水、燃气等消耗资源的情况，</w:t>
            </w:r>
            <w:r>
              <w:rPr>
                <w:rFonts w:hint="eastAsia" w:ascii="Times New Roman" w:hAnsi="Times New Roman" w:eastAsia="宋体" w:cs="Times New Roman"/>
                <w:color w:val="auto"/>
                <w:kern w:val="0"/>
                <w:sz w:val="21"/>
                <w:szCs w:val="21"/>
                <w:highlight w:val="none"/>
                <w:lang w:val="en-US" w:eastAsia="zh-CN" w:bidi="ar-SA"/>
              </w:rPr>
              <w:t>未突破“三条红线”要求。</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kern w:val="0"/>
                <w:sz w:val="21"/>
                <w:szCs w:val="21"/>
                <w:highlight w:val="none"/>
                <w:lang w:val="en-US" w:eastAsia="zh-CN" w:bidi="ar-SA"/>
              </w:rPr>
              <w:t>项目黏土开采过程中采取以下措施：（1）</w:t>
            </w:r>
            <w:r>
              <w:rPr>
                <w:rFonts w:ascii="Times New Roman" w:hAnsi="Times New Roman" w:cs="Times New Roman"/>
                <w:color w:val="auto"/>
                <w:sz w:val="21"/>
                <w:szCs w:val="21"/>
                <w:highlight w:val="none"/>
                <w:lang w:eastAsia="zh-CN"/>
              </w:rPr>
              <w:t>对开采区域、作业面采取洒水车洒水抑尘措施，通过湿法作业来抑制采矿扬尘的产生。（2）项目区内</w:t>
            </w:r>
            <w:r>
              <w:rPr>
                <w:rFonts w:hint="eastAsia" w:ascii="Times New Roman" w:hAnsi="Times New Roman" w:cs="Times New Roman"/>
                <w:color w:val="auto"/>
                <w:sz w:val="21"/>
                <w:szCs w:val="21"/>
                <w:highlight w:val="none"/>
                <w:lang w:eastAsia="zh-CN"/>
              </w:rPr>
              <w:t>砂石</w:t>
            </w:r>
            <w:r>
              <w:rPr>
                <w:rFonts w:ascii="Times New Roman" w:hAnsi="Times New Roman" w:cs="Times New Roman"/>
                <w:color w:val="auto"/>
                <w:sz w:val="21"/>
                <w:szCs w:val="21"/>
                <w:highlight w:val="none"/>
                <w:lang w:eastAsia="zh-CN"/>
              </w:rPr>
              <w:t>硬化路面</w:t>
            </w:r>
            <w:r>
              <w:rPr>
                <w:rFonts w:hint="eastAsia" w:ascii="Times New Roman" w:hAnsi="Times New Roman" w:cs="Times New Roman"/>
                <w:color w:val="auto"/>
                <w:sz w:val="21"/>
                <w:szCs w:val="21"/>
                <w:highlight w:val="none"/>
                <w:lang w:eastAsia="zh-CN"/>
              </w:rPr>
              <w:t>定期洒水降尘。</w:t>
            </w:r>
            <w:r>
              <w:rPr>
                <w:rFonts w:ascii="Times New Roman" w:hAnsi="Times New Roman" w:cs="Times New Roman"/>
                <w:color w:val="auto"/>
                <w:sz w:val="21"/>
                <w:szCs w:val="21"/>
                <w:highlight w:val="none"/>
                <w:lang w:eastAsia="zh-CN"/>
              </w:rPr>
              <w:t>（3）粘土矿装载过程中应降低铲车铲斗与自卸载重汽车车斗之间的高度差，并配合雾炮机洒水抑尘措施，来减少装载扬尘。（4）运输车辆出入采矿区应低速行驶，采区内运输道路定期洒水，减少交通扬尘。车辆装载粘土矿高度不得超过车辆槽帮上沿，车斗用苫布遮蔽，苫布边缘至少要遮住槽帮上沿以下15cm，避免粘土矿掉落引起扬尘。（5）如遇四级及以上大风天气，应采取扬尘应急措施，停止采矿作业，同时作业面覆盖防尘布、遮网。（6）合理计划每日开采量，日采日运，粘土矿不得在采矿区内长时间堆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综上所述，本项目符合《新疆生态环境保护“十四五”规划》相关要求。</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uto"/>
              <w:ind w:right="0" w:rightChars="0"/>
              <w:textAlignment w:val="auto"/>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9、</w:t>
            </w:r>
            <w:r>
              <w:rPr>
                <w:rFonts w:hint="eastAsia" w:ascii="Times New Roman" w:hAnsi="Times New Roman" w:eastAsia="宋体" w:cs="Times New Roman"/>
                <w:b/>
                <w:bCs/>
                <w:color w:val="auto"/>
                <w:kern w:val="0"/>
                <w:sz w:val="21"/>
                <w:szCs w:val="21"/>
                <w:highlight w:val="none"/>
                <w:lang w:val="en-US" w:eastAsia="zh-CN" w:bidi="ar-SA"/>
              </w:rPr>
              <w:t>与</w:t>
            </w:r>
            <w:r>
              <w:rPr>
                <w:rFonts w:hint="default" w:ascii="Times New Roman" w:hAnsi="Times New Roman" w:eastAsia="宋体" w:cs="Times New Roman"/>
                <w:b/>
                <w:bCs/>
                <w:color w:val="auto"/>
                <w:kern w:val="0"/>
                <w:sz w:val="21"/>
                <w:szCs w:val="21"/>
                <w:highlight w:val="none"/>
                <w:lang w:val="en-US" w:eastAsia="zh-CN" w:bidi="ar-SA"/>
              </w:rPr>
              <w:t>《</w:t>
            </w:r>
            <w:r>
              <w:rPr>
                <w:rFonts w:hint="eastAsia" w:ascii="Times New Roman" w:hAnsi="Times New Roman" w:eastAsia="宋体" w:cs="Times New Roman"/>
                <w:b/>
                <w:bCs/>
                <w:color w:val="auto"/>
                <w:kern w:val="0"/>
                <w:sz w:val="21"/>
                <w:szCs w:val="21"/>
                <w:highlight w:val="none"/>
                <w:lang w:val="en-US" w:eastAsia="zh-CN" w:bidi="ar-SA"/>
              </w:rPr>
              <w:t>伊犁州生态环境保护“十四五”规划</w:t>
            </w:r>
            <w:r>
              <w:rPr>
                <w:rFonts w:hint="default" w:ascii="Times New Roman" w:hAnsi="Times New Roman" w:eastAsia="宋体" w:cs="Times New Roman"/>
                <w:b/>
                <w:bCs/>
                <w:color w:val="auto"/>
                <w:kern w:val="0"/>
                <w:sz w:val="21"/>
                <w:szCs w:val="21"/>
                <w:highlight w:val="none"/>
                <w:lang w:val="en-US" w:eastAsia="zh-CN" w:bidi="ar-SA"/>
              </w:rPr>
              <w:t>》</w:t>
            </w:r>
            <w:r>
              <w:rPr>
                <w:rFonts w:hint="eastAsia" w:ascii="Times New Roman" w:hAnsi="Times New Roman" w:eastAsia="宋体" w:cs="Times New Roman"/>
                <w:b/>
                <w:bCs/>
                <w:color w:val="auto"/>
                <w:kern w:val="0"/>
                <w:sz w:val="21"/>
                <w:szCs w:val="21"/>
                <w:highlight w:val="none"/>
                <w:lang w:val="en-US" w:eastAsia="zh-CN" w:bidi="ar-SA"/>
              </w:rPr>
              <w:t>符合性分析</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根据《伊犁州生态环境保护“十四五”规划》：“推进系统防治，持续推进污染源治理-推进城乡面源污染治理，加强矿山开采扬尘综合治理和植被恢复。”</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kern w:val="0"/>
                <w:sz w:val="21"/>
                <w:szCs w:val="21"/>
                <w:highlight w:val="none"/>
                <w:lang w:val="en-US" w:eastAsia="zh-CN" w:bidi="ar-SA"/>
              </w:rPr>
              <w:t>项目黏土开采过程中采取以下措施加强矿山开采扬尘治理：（1）</w:t>
            </w:r>
            <w:r>
              <w:rPr>
                <w:rFonts w:ascii="Times New Roman" w:hAnsi="Times New Roman" w:cs="Times New Roman"/>
                <w:color w:val="auto"/>
                <w:sz w:val="21"/>
                <w:szCs w:val="21"/>
                <w:highlight w:val="none"/>
                <w:lang w:eastAsia="zh-CN"/>
              </w:rPr>
              <w:t>对开采区域、作业面采取洒水车洒水抑尘措施，通过湿法作业来抑制采矿扬尘的产生。（2）项目区内</w:t>
            </w:r>
            <w:r>
              <w:rPr>
                <w:rFonts w:hint="eastAsia" w:ascii="Times New Roman" w:hAnsi="Times New Roman" w:cs="Times New Roman"/>
                <w:color w:val="auto"/>
                <w:sz w:val="21"/>
                <w:szCs w:val="21"/>
                <w:highlight w:val="none"/>
                <w:lang w:eastAsia="zh-CN"/>
              </w:rPr>
              <w:t>砂石</w:t>
            </w:r>
            <w:r>
              <w:rPr>
                <w:rFonts w:ascii="Times New Roman" w:hAnsi="Times New Roman" w:cs="Times New Roman"/>
                <w:color w:val="auto"/>
                <w:sz w:val="21"/>
                <w:szCs w:val="21"/>
                <w:highlight w:val="none"/>
                <w:lang w:eastAsia="zh-CN"/>
              </w:rPr>
              <w:t>硬化路面</w:t>
            </w:r>
            <w:r>
              <w:rPr>
                <w:rFonts w:hint="eastAsia" w:ascii="Times New Roman" w:hAnsi="Times New Roman" w:cs="Times New Roman"/>
                <w:color w:val="auto"/>
                <w:sz w:val="21"/>
                <w:szCs w:val="21"/>
                <w:highlight w:val="none"/>
                <w:lang w:eastAsia="zh-CN"/>
              </w:rPr>
              <w:t>定期洒水降尘。</w:t>
            </w:r>
            <w:r>
              <w:rPr>
                <w:rFonts w:ascii="Times New Roman" w:hAnsi="Times New Roman" w:cs="Times New Roman"/>
                <w:color w:val="auto"/>
                <w:sz w:val="21"/>
                <w:szCs w:val="21"/>
                <w:highlight w:val="none"/>
                <w:lang w:eastAsia="zh-CN"/>
              </w:rPr>
              <w:t>（3）粘土矿装载过程中应降低铲车铲斗与自卸载重汽车车斗之间的高度差，并配合雾炮机洒水抑尘措施，来减少装载扬尘。（4）运输车辆出入采矿区应低速行驶，采区内运输道路定期洒水，减少交通扬尘。车辆装载粘土矿高度不得超过车辆槽帮上沿，车斗用苫布遮蔽，苫布边缘至少要遮住槽帮上沿以下15cm，避免粘土矿掉落引起扬尘。（5）如遇四级及以上大风天气，应采取扬尘应急措施，停止采矿作业，同时作业面覆盖防尘布、遮网。（6）合理计划每日开采量，日采日运，粘土矿不得在采矿区内长时间堆存。</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 xml:space="preserve">      </w:t>
            </w:r>
            <w:r>
              <w:rPr>
                <w:rFonts w:hint="eastAsia" w:ascii="Times New Roman" w:hAnsi="Times New Roman" w:eastAsia="宋体" w:cs="Times New Roman"/>
                <w:color w:val="auto"/>
                <w:sz w:val="21"/>
                <w:szCs w:val="21"/>
                <w:highlight w:val="none"/>
                <w:lang w:val="en-US" w:eastAsia="zh-CN" w:bidi="ar-SA"/>
              </w:rPr>
              <w:t>综上所述，本项目符合《</w:t>
            </w:r>
            <w:r>
              <w:rPr>
                <w:rFonts w:hint="eastAsia" w:ascii="Times New Roman" w:hAnsi="Times New Roman" w:cs="Times New Roman"/>
                <w:color w:val="auto"/>
                <w:sz w:val="21"/>
                <w:szCs w:val="21"/>
                <w:highlight w:val="none"/>
                <w:lang w:val="en-US" w:eastAsia="zh-CN" w:bidi="ar-SA"/>
              </w:rPr>
              <w:t>伊犁州</w:t>
            </w:r>
            <w:r>
              <w:rPr>
                <w:rFonts w:hint="eastAsia" w:ascii="Times New Roman" w:hAnsi="Times New Roman" w:eastAsia="宋体" w:cs="Times New Roman"/>
                <w:color w:val="auto"/>
                <w:sz w:val="21"/>
                <w:szCs w:val="21"/>
                <w:highlight w:val="none"/>
                <w:lang w:val="en-US" w:eastAsia="zh-CN" w:bidi="ar-SA"/>
              </w:rPr>
              <w:t>生态环境保护“十四五”规划》相关要求。</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uto"/>
              <w:ind w:leftChars="0" w:right="0" w:rightChars="0"/>
              <w:textAlignment w:val="auto"/>
              <w:rPr>
                <w:rFonts w:hint="eastAsia" w:ascii="Times New Roman" w:hAnsi="Times New Roman" w:cs="Times New Roman"/>
                <w:b/>
                <w:bCs/>
                <w:color w:val="auto"/>
                <w:kern w:val="0"/>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10、</w:t>
            </w:r>
            <w:r>
              <w:rPr>
                <w:rFonts w:hint="eastAsia" w:ascii="Times New Roman" w:hAnsi="Times New Roman" w:eastAsia="宋体" w:cs="Times New Roman"/>
                <w:b/>
                <w:bCs/>
                <w:color w:val="auto"/>
                <w:kern w:val="0"/>
                <w:sz w:val="21"/>
                <w:szCs w:val="21"/>
                <w:highlight w:val="none"/>
                <w:lang w:val="en-US" w:eastAsia="zh-CN" w:bidi="ar-SA"/>
              </w:rPr>
              <w:t>与《</w:t>
            </w:r>
            <w:r>
              <w:rPr>
                <w:rFonts w:hint="default" w:ascii="Times New Roman" w:hAnsi="Times New Roman" w:eastAsia="宋体" w:cs="Times New Roman"/>
                <w:b/>
                <w:bCs/>
                <w:color w:val="auto"/>
                <w:kern w:val="0"/>
                <w:sz w:val="21"/>
                <w:szCs w:val="21"/>
                <w:highlight w:val="none"/>
                <w:lang w:val="en-US" w:eastAsia="zh-CN" w:bidi="ar-SA"/>
              </w:rPr>
              <w:t>新疆维吾尔自治区新源县矿产资源总体规划</w:t>
            </w:r>
            <w:r>
              <w:rPr>
                <w:rFonts w:hint="eastAsia" w:ascii="Times New Roman" w:hAnsi="Times New Roman"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2021-2025年</w:t>
            </w:r>
            <w:r>
              <w:rPr>
                <w:rFonts w:hint="eastAsia" w:ascii="Times New Roman" w:hAnsi="Times New Roman"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w:t>
            </w:r>
            <w:r>
              <w:rPr>
                <w:rFonts w:hint="eastAsia" w:ascii="Times New Roman" w:hAnsi="Times New Roman" w:cs="Times New Roman"/>
                <w:b/>
                <w:bCs/>
                <w:color w:val="auto"/>
                <w:kern w:val="0"/>
                <w:sz w:val="21"/>
                <w:szCs w:val="21"/>
                <w:highlight w:val="none"/>
                <w:lang w:val="en-US" w:eastAsia="zh-CN" w:bidi="ar-SA"/>
              </w:rPr>
              <w:t>符合性分析</w:t>
            </w:r>
          </w:p>
          <w:p>
            <w:pPr>
              <w:keepNext w:val="0"/>
              <w:keepLines w:val="0"/>
              <w:pageBreakBefore w:val="0"/>
              <w:kinsoku/>
              <w:wordWrap/>
              <w:overflowPunct/>
              <w:topLinePunct w:val="0"/>
              <w:autoSpaceDE w:val="0"/>
              <w:autoSpaceDN w:val="0"/>
              <w:bidi w:val="0"/>
              <w:adjustRightInd/>
              <w:snapToGrid/>
              <w:spacing w:line="360" w:lineRule="auto"/>
              <w:ind w:firstLine="422" w:firstLineChars="200"/>
              <w:jc w:val="left"/>
              <w:textAlignment w:val="auto"/>
              <w:rPr>
                <w:rFonts w:hint="default" w:ascii="Times New Roman" w:hAnsi="Times New Roman" w:eastAsia="宋体" w:cs="Times New Roman"/>
                <w:b/>
                <w:bCs/>
                <w:color w:val="auto"/>
                <w:sz w:val="21"/>
                <w:szCs w:val="21"/>
                <w:highlight w:val="none"/>
                <w:lang w:bidi="en-US"/>
              </w:rPr>
            </w:pPr>
            <w:r>
              <w:rPr>
                <w:rFonts w:hint="default" w:ascii="Times New Roman" w:hAnsi="Times New Roman" w:eastAsia="宋体" w:cs="Times New Roman"/>
                <w:b/>
                <w:bCs/>
                <w:color w:val="auto"/>
                <w:sz w:val="21"/>
                <w:szCs w:val="21"/>
                <w:highlight w:val="none"/>
                <w:lang w:bidi="en-US"/>
              </w:rPr>
              <w:t>表</w:t>
            </w:r>
            <w:r>
              <w:rPr>
                <w:rFonts w:hint="eastAsia" w:ascii="Times New Roman" w:hAnsi="Times New Roman" w:cs="Times New Roman"/>
                <w:b/>
                <w:bCs/>
                <w:color w:val="auto"/>
                <w:sz w:val="21"/>
                <w:szCs w:val="21"/>
                <w:highlight w:val="none"/>
                <w:lang w:val="en-US" w:eastAsia="zh-CN" w:bidi="en-US"/>
              </w:rPr>
              <w:t>1-2</w:t>
            </w:r>
            <w:r>
              <w:rPr>
                <w:rFonts w:hint="default" w:ascii="Times New Roman" w:hAnsi="Times New Roman" w:eastAsia="宋体" w:cs="Times New Roman"/>
                <w:b/>
                <w:bCs/>
                <w:color w:val="auto"/>
                <w:sz w:val="21"/>
                <w:szCs w:val="21"/>
                <w:highlight w:val="none"/>
                <w:lang w:bidi="en-US"/>
              </w:rPr>
              <w:t xml:space="preserve">      与</w:t>
            </w:r>
            <w:r>
              <w:rPr>
                <w:rFonts w:hint="eastAsia" w:ascii="Times New Roman" w:hAnsi="Times New Roman" w:eastAsia="宋体"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新疆维吾尔自治区新源县矿产资源总体规划</w:t>
            </w:r>
            <w:r>
              <w:rPr>
                <w:rFonts w:hint="eastAsia" w:ascii="Times New Roman" w:hAnsi="Times New Roman"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2021-2025年</w:t>
            </w:r>
            <w:r>
              <w:rPr>
                <w:rFonts w:hint="eastAsia" w:ascii="Times New Roman" w:hAnsi="Times New Roman"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w:t>
            </w:r>
            <w:r>
              <w:rPr>
                <w:rFonts w:hint="eastAsia" w:ascii="Times New Roman" w:hAnsi="Times New Roman" w:cs="Times New Roman"/>
                <w:b/>
                <w:bCs/>
                <w:color w:val="auto"/>
                <w:kern w:val="0"/>
                <w:sz w:val="21"/>
                <w:szCs w:val="21"/>
                <w:highlight w:val="none"/>
                <w:lang w:val="en-US" w:eastAsia="zh-CN" w:bidi="ar-SA"/>
              </w:rPr>
              <w:t>符合性分析</w:t>
            </w:r>
          </w:p>
          <w:tbl>
            <w:tblPr>
              <w:tblStyle w:val="14"/>
              <w:tblW w:w="8752"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148"/>
              <w:gridCol w:w="3729"/>
              <w:gridCol w:w="87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4148"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要求</w:t>
                  </w:r>
                </w:p>
              </w:tc>
              <w:tc>
                <w:tcPr>
                  <w:tcW w:w="3729"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本项目情况</w:t>
                  </w:r>
                </w:p>
              </w:tc>
              <w:tc>
                <w:tcPr>
                  <w:tcW w:w="875"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jc w:val="center"/>
              </w:trPr>
              <w:tc>
                <w:tcPr>
                  <w:tcW w:w="4148"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bCs/>
                      <w:color w:val="auto"/>
                      <w:kern w:val="0"/>
                      <w:sz w:val="21"/>
                      <w:szCs w:val="21"/>
                      <w:highlight w:val="none"/>
                      <w:lang w:val="en-US" w:eastAsia="zh-CN" w:bidi="en-US"/>
                    </w:rPr>
                    <w:t>砂石粘土类最低开采规模及矿区生态保护</w:t>
                  </w:r>
                  <w:r>
                    <w:rPr>
                      <w:rFonts w:hint="eastAsia" w:ascii="Times New Roman" w:hAnsi="Times New Roman" w:eastAsia="宋体" w:cs="Times New Roman"/>
                      <w:b/>
                      <w:bCs/>
                      <w:color w:val="auto"/>
                      <w:kern w:val="0"/>
                      <w:sz w:val="21"/>
                      <w:szCs w:val="21"/>
                      <w:highlight w:val="none"/>
                      <w:lang w:val="en-US" w:eastAsia="zh-CN" w:bidi="en-US"/>
                    </w:rPr>
                    <w:t>：</w:t>
                  </w:r>
                  <w:r>
                    <w:rPr>
                      <w:rFonts w:hint="default" w:ascii="Times New Roman" w:hAnsi="Times New Roman" w:eastAsia="宋体" w:cs="Times New Roman"/>
                      <w:color w:val="auto"/>
                      <w:kern w:val="0"/>
                      <w:sz w:val="21"/>
                      <w:szCs w:val="21"/>
                      <w:highlight w:val="none"/>
                      <w:lang w:val="en-US" w:eastAsia="zh-CN" w:bidi="en-US"/>
                    </w:rPr>
                    <w:t>砖瓦用粘土最低生产规模6万立方米/年，开采回采率95%。</w:t>
                  </w:r>
                </w:p>
              </w:tc>
              <w:tc>
                <w:tcPr>
                  <w:tcW w:w="3729" w:type="dxa"/>
                  <w:tcBorders>
                    <w:tl2br w:val="nil"/>
                    <w:tr2bl w:val="nil"/>
                  </w:tcBorders>
                  <w:vAlign w:val="center"/>
                </w:tcPr>
                <w:p>
                  <w:pPr>
                    <w:pStyle w:val="31"/>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w:t>
                  </w:r>
                  <w:r>
                    <w:rPr>
                      <w:rFonts w:ascii="Times New Roman" w:hAnsi="Times New Roman" w:cs="Times New Roman"/>
                      <w:color w:val="auto"/>
                      <w:spacing w:val="4"/>
                      <w:kern w:val="2"/>
                      <w:sz w:val="21"/>
                      <w:szCs w:val="21"/>
                      <w:highlight w:val="none"/>
                      <w:lang w:eastAsia="zh-CN"/>
                    </w:rPr>
                    <w:t>生产规模6万m³/a</w:t>
                  </w:r>
                  <w:r>
                    <w:rPr>
                      <w:rFonts w:hint="eastAsia" w:cs="Times New Roman"/>
                      <w:color w:val="auto"/>
                      <w:spacing w:val="4"/>
                      <w:kern w:val="2"/>
                      <w:sz w:val="21"/>
                      <w:szCs w:val="21"/>
                      <w:highlight w:val="none"/>
                      <w:lang w:eastAsia="zh-CN"/>
                    </w:rPr>
                    <w:t>，</w:t>
                  </w:r>
                  <w:r>
                    <w:rPr>
                      <w:rFonts w:hint="eastAsia" w:ascii="Times New Roman" w:hAnsi="Times New Roman" w:eastAsia="宋体" w:cs="Times New Roman"/>
                      <w:color w:val="auto"/>
                      <w:spacing w:val="4"/>
                      <w:kern w:val="2"/>
                      <w:sz w:val="21"/>
                      <w:szCs w:val="21"/>
                      <w:highlight w:val="none"/>
                      <w:lang w:val="en-US" w:eastAsia="zh-CN"/>
                    </w:rPr>
                    <w:t>矿山回采率97%</w:t>
                  </w:r>
                  <w:r>
                    <w:rPr>
                      <w:rFonts w:hint="eastAsia" w:cs="Times New Roman"/>
                      <w:color w:val="auto"/>
                      <w:spacing w:val="4"/>
                      <w:kern w:val="2"/>
                      <w:sz w:val="21"/>
                      <w:szCs w:val="21"/>
                      <w:highlight w:val="none"/>
                      <w:lang w:val="en-US" w:eastAsia="zh-CN"/>
                    </w:rPr>
                    <w:t>。</w:t>
                  </w:r>
                </w:p>
              </w:tc>
              <w:tc>
                <w:tcPr>
                  <w:tcW w:w="875" w:type="dxa"/>
                  <w:tcBorders>
                    <w:tl2br w:val="nil"/>
                    <w:tr2bl w:val="nil"/>
                  </w:tcBorders>
                  <w:vAlign w:val="center"/>
                </w:tcPr>
                <w:p>
                  <w:pPr>
                    <w:pStyle w:val="3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148"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bCs/>
                      <w:color w:val="auto"/>
                      <w:kern w:val="0"/>
                      <w:sz w:val="21"/>
                      <w:szCs w:val="21"/>
                      <w:highlight w:val="none"/>
                      <w:lang w:val="en-US" w:eastAsia="zh-CN" w:bidi="en-US"/>
                    </w:rPr>
                    <w:t>严格矿产资源开发准入</w:t>
                  </w:r>
                  <w:r>
                    <w:rPr>
                      <w:rFonts w:hint="eastAsia" w:ascii="Times New Roman" w:hAnsi="Times New Roman" w:cs="Times New Roman"/>
                      <w:b/>
                      <w:bCs/>
                      <w:color w:val="auto"/>
                      <w:kern w:val="0"/>
                      <w:sz w:val="21"/>
                      <w:szCs w:val="21"/>
                      <w:highlight w:val="none"/>
                      <w:lang w:val="en-US" w:eastAsia="zh-CN" w:bidi="en-US"/>
                    </w:rPr>
                    <w:t>：</w:t>
                  </w:r>
                  <w:r>
                    <w:rPr>
                      <w:rFonts w:hint="default" w:ascii="Times New Roman" w:hAnsi="Times New Roman" w:eastAsia="宋体" w:cs="Times New Roman"/>
                      <w:color w:val="auto"/>
                      <w:kern w:val="0"/>
                      <w:sz w:val="21"/>
                      <w:szCs w:val="21"/>
                      <w:highlight w:val="none"/>
                      <w:lang w:val="en-US" w:eastAsia="zh-CN" w:bidi="en-US"/>
                    </w:rPr>
                    <w:t>严禁在禁止开发区域开采矿产，严禁新设禁止开采矿种采矿权</w:t>
                  </w:r>
                  <w:r>
                    <w:rPr>
                      <w:rFonts w:hint="eastAsia" w:ascii="Times New Roman" w:hAnsi="Times New Roman" w:cs="Times New Roman"/>
                      <w:color w:val="auto"/>
                      <w:kern w:val="0"/>
                      <w:sz w:val="21"/>
                      <w:szCs w:val="21"/>
                      <w:highlight w:val="none"/>
                      <w:lang w:val="en-US" w:eastAsia="zh-CN" w:bidi="en-US"/>
                    </w:rPr>
                    <w:t>（禁止开采矿种为：</w:t>
                  </w:r>
                  <w:r>
                    <w:rPr>
                      <w:rFonts w:hint="default" w:ascii="Times New Roman" w:hAnsi="Times New Roman" w:eastAsia="宋体" w:cs="Times New Roman"/>
                      <w:color w:val="auto"/>
                      <w:kern w:val="0"/>
                      <w:sz w:val="21"/>
                      <w:szCs w:val="21"/>
                      <w:highlight w:val="none"/>
                      <w:lang w:val="en-US" w:eastAsia="zh-CN" w:bidi="en-US"/>
                    </w:rPr>
                    <w:t>禁止开采可耕地砖瓦用粘土等矿产</w:t>
                  </w:r>
                  <w:r>
                    <w:rPr>
                      <w:rFonts w:hint="eastAsia" w:ascii="Times New Roman" w:hAnsi="Times New Roman" w:eastAsia="宋体" w:cs="Times New Roman"/>
                      <w:color w:val="auto"/>
                      <w:kern w:val="0"/>
                      <w:sz w:val="21"/>
                      <w:szCs w:val="21"/>
                      <w:highlight w:val="none"/>
                      <w:lang w:val="en-US" w:eastAsia="zh-CN" w:bidi="en-US"/>
                    </w:rPr>
                    <w:t>）</w:t>
                  </w:r>
                  <w:r>
                    <w:rPr>
                      <w:rFonts w:hint="default" w:ascii="Times New Roman" w:hAnsi="Times New Roman" w:eastAsia="宋体" w:cs="Times New Roman"/>
                      <w:color w:val="auto"/>
                      <w:kern w:val="0"/>
                      <w:sz w:val="21"/>
                      <w:szCs w:val="21"/>
                      <w:highlight w:val="none"/>
                      <w:lang w:val="en-US" w:eastAsia="zh-CN" w:bidi="en-US"/>
                    </w:rPr>
                    <w:t>，保护性开采钨、稀土等矿产。</w:t>
                  </w:r>
                </w:p>
              </w:tc>
              <w:tc>
                <w:tcPr>
                  <w:tcW w:w="3729" w:type="dxa"/>
                  <w:tcBorders>
                    <w:tl2br w:val="nil"/>
                    <w:tr2bl w:val="nil"/>
                  </w:tcBorders>
                  <w:vAlign w:val="center"/>
                </w:tcPr>
                <w:p>
                  <w:pPr>
                    <w:pStyle w:val="31"/>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w:t>
                  </w:r>
                  <w:r>
                    <w:rPr>
                      <w:rFonts w:hint="eastAsia" w:cs="Times New Roman"/>
                      <w:color w:val="auto"/>
                      <w:sz w:val="21"/>
                      <w:szCs w:val="21"/>
                      <w:highlight w:val="none"/>
                      <w:lang w:eastAsia="zh-CN"/>
                    </w:rPr>
                    <w:t>为砖瓦用粘土开采，项目区不占用耕地，不属于禁止开采矿种。</w:t>
                  </w:r>
                </w:p>
              </w:tc>
              <w:tc>
                <w:tcPr>
                  <w:tcW w:w="875" w:type="dxa"/>
                  <w:tcBorders>
                    <w:tl2br w:val="nil"/>
                    <w:tr2bl w:val="nil"/>
                  </w:tcBorders>
                  <w:vAlign w:val="center"/>
                </w:tcPr>
                <w:p>
                  <w:pPr>
                    <w:pStyle w:val="3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148"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b/>
                      <w:bCs/>
                      <w:color w:val="auto"/>
                      <w:kern w:val="0"/>
                      <w:sz w:val="21"/>
                      <w:szCs w:val="21"/>
                      <w:highlight w:val="none"/>
                      <w:lang w:val="en-US" w:eastAsia="zh-CN" w:bidi="en-US"/>
                    </w:rPr>
                  </w:pPr>
                  <w:r>
                    <w:rPr>
                      <w:rFonts w:hint="default" w:ascii="Times New Roman" w:hAnsi="Times New Roman" w:eastAsia="宋体" w:cs="Times New Roman"/>
                      <w:color w:val="auto"/>
                      <w:kern w:val="0"/>
                      <w:sz w:val="21"/>
                      <w:szCs w:val="21"/>
                      <w:highlight w:val="none"/>
                      <w:lang w:val="en-US" w:eastAsia="zh-CN" w:bidi="en-US"/>
                    </w:rPr>
                    <w:t>矿山应编制矿山地质环境保护与土地复垦方案，落实矿山地质环境保护和恢复责任制。矿业固体废弃物、废水及废气应按相关标准和规定处理达标后排放。矿山对矿业活动引发的地质灾害应积极治理。</w:t>
                  </w:r>
                </w:p>
              </w:tc>
              <w:tc>
                <w:tcPr>
                  <w:tcW w:w="3729" w:type="dxa"/>
                  <w:tcBorders>
                    <w:tl2br w:val="nil"/>
                    <w:tr2bl w:val="nil"/>
                  </w:tcBorders>
                  <w:vAlign w:val="center"/>
                </w:tcPr>
                <w:p>
                  <w:pPr>
                    <w:pStyle w:val="31"/>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本项目已编制矿山地质环境保护与土地复垦方案，项目开采过程中无固废、废水产生；开采扬尘经治理后满足</w:t>
                  </w:r>
                  <w:r>
                    <w:rPr>
                      <w:rFonts w:ascii="Times New Roman" w:hAnsi="Times New Roman" w:cs="Times New Roman"/>
                      <w:color w:val="auto"/>
                      <w:sz w:val="21"/>
                      <w:szCs w:val="21"/>
                      <w:highlight w:val="none"/>
                      <w:lang w:eastAsia="zh-CN"/>
                    </w:rPr>
                    <w:t>《大气污染物综合排放标准》（GB 16297-1996）中无组织排放标准</w:t>
                  </w:r>
                  <w:r>
                    <w:rPr>
                      <w:rFonts w:hint="eastAsia" w:cs="Times New Roman"/>
                      <w:color w:val="auto"/>
                      <w:sz w:val="21"/>
                      <w:szCs w:val="21"/>
                      <w:highlight w:val="none"/>
                      <w:lang w:eastAsia="zh-CN"/>
                    </w:rPr>
                    <w:t>。</w:t>
                  </w:r>
                </w:p>
              </w:tc>
              <w:tc>
                <w:tcPr>
                  <w:tcW w:w="875" w:type="dxa"/>
                  <w:tcBorders>
                    <w:tl2br w:val="nil"/>
                    <w:tr2bl w:val="nil"/>
                  </w:tcBorders>
                  <w:vAlign w:val="center"/>
                </w:tcPr>
                <w:p>
                  <w:pPr>
                    <w:pStyle w:val="31"/>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符合</w:t>
                  </w:r>
                </w:p>
              </w:tc>
            </w:tr>
          </w:tbl>
          <w:p>
            <w:pPr>
              <w:keepNext w:val="0"/>
              <w:keepLines w:val="0"/>
              <w:widowControl/>
              <w:suppressLineNumbers w:val="0"/>
              <w:ind w:firstLine="420" w:firstLineChars="200"/>
              <w:jc w:val="left"/>
              <w:rPr>
                <w:rFonts w:hint="default" w:eastAsia="宋体"/>
                <w:color w:val="auto"/>
                <w:highlight w:val="none"/>
                <w:lang w:val="en-US" w:eastAsia="zh-CN"/>
              </w:rPr>
            </w:pPr>
            <w:r>
              <w:rPr>
                <w:rFonts w:hint="eastAsia" w:ascii="Times New Roman" w:hAnsi="Times New Roman" w:eastAsia="宋体" w:cs="Times New Roman"/>
                <w:color w:val="auto"/>
                <w:sz w:val="21"/>
                <w:szCs w:val="21"/>
                <w:highlight w:val="none"/>
                <w:lang w:val="en-US" w:eastAsia="zh-CN" w:bidi="ar-SA"/>
              </w:rPr>
              <w:t>综上所述，本项目符合《</w:t>
            </w:r>
            <w:r>
              <w:rPr>
                <w:rFonts w:hint="default" w:ascii="Times New Roman" w:hAnsi="Times New Roman" w:eastAsia="宋体" w:cs="Times New Roman"/>
                <w:color w:val="auto"/>
                <w:sz w:val="21"/>
                <w:szCs w:val="21"/>
                <w:highlight w:val="none"/>
                <w:lang w:val="en-US" w:eastAsia="zh-CN" w:bidi="ar-SA"/>
              </w:rPr>
              <w:t>新疆维吾尔自治区新源县矿产资源总体规划</w:t>
            </w:r>
            <w:r>
              <w:rPr>
                <w:rFonts w:hint="eastAsia" w:ascii="Times New Roman" w:hAnsi="Times New Roman" w:cs="Times New Roman"/>
                <w:color w:val="auto"/>
                <w:sz w:val="21"/>
                <w:szCs w:val="21"/>
                <w:highlight w:val="none"/>
                <w:lang w:val="en-US" w:eastAsia="zh-CN" w:bidi="ar-SA"/>
              </w:rPr>
              <w:t>（</w:t>
            </w:r>
            <w:r>
              <w:rPr>
                <w:rFonts w:hint="default" w:ascii="Times New Roman" w:hAnsi="Times New Roman" w:eastAsia="宋体" w:cs="Times New Roman"/>
                <w:color w:val="auto"/>
                <w:sz w:val="21"/>
                <w:szCs w:val="21"/>
                <w:highlight w:val="none"/>
                <w:lang w:val="en-US" w:eastAsia="zh-CN" w:bidi="ar-SA"/>
              </w:rPr>
              <w:t>2021-2025年</w:t>
            </w:r>
            <w:r>
              <w:rPr>
                <w:rFonts w:hint="eastAsia" w:ascii="Times New Roman" w:hAnsi="Times New Roman" w:cs="Times New Roman"/>
                <w:color w:val="auto"/>
                <w:sz w:val="21"/>
                <w:szCs w:val="21"/>
                <w:highlight w:val="none"/>
                <w:lang w:val="en-US" w:eastAsia="zh-CN" w:bidi="ar-SA"/>
              </w:rPr>
              <w:t>）</w:t>
            </w:r>
            <w:r>
              <w:rPr>
                <w:rFonts w:hint="eastAsia" w:ascii="Times New Roman" w:hAnsi="Times New Roman" w:eastAsia="宋体" w:cs="Times New Roman"/>
                <w:color w:val="auto"/>
                <w:sz w:val="21"/>
                <w:szCs w:val="21"/>
                <w:highlight w:val="none"/>
                <w:lang w:val="en-US" w:eastAsia="zh-CN" w:bidi="ar-SA"/>
              </w:rPr>
              <w:t>》相关要求。</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leftChars="0"/>
              <w:jc w:val="left"/>
              <w:textAlignment w:val="auto"/>
              <w:rPr>
                <w:rFonts w:hint="eastAsia" w:ascii="Times New Roman" w:hAnsi="Times New Roman" w:cs="Times New Roman"/>
                <w:b/>
                <w:bCs/>
                <w:color w:val="auto"/>
                <w:kern w:val="0"/>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11、与</w:t>
            </w:r>
            <w:r>
              <w:rPr>
                <w:rFonts w:hint="default" w:ascii="Times New Roman" w:hAnsi="Times New Roman" w:eastAsia="宋体" w:cs="Times New Roman"/>
                <w:b/>
                <w:bCs/>
                <w:color w:val="auto"/>
                <w:kern w:val="0"/>
                <w:sz w:val="21"/>
                <w:szCs w:val="21"/>
                <w:highlight w:val="none"/>
                <w:lang w:val="en-US" w:eastAsia="zh-CN" w:bidi="ar-SA"/>
              </w:rPr>
              <w:t>《新源县国土空间总体规划（2021-2035）》</w:t>
            </w:r>
            <w:r>
              <w:rPr>
                <w:rFonts w:hint="eastAsia" w:ascii="Times New Roman" w:hAnsi="Times New Roman" w:cs="Times New Roman"/>
                <w:b/>
                <w:bCs/>
                <w:color w:val="auto"/>
                <w:kern w:val="0"/>
                <w:sz w:val="21"/>
                <w:szCs w:val="21"/>
                <w:highlight w:val="none"/>
                <w:lang w:val="en-US" w:eastAsia="zh-CN" w:bidi="ar-SA"/>
              </w:rPr>
              <w:t>符合性分析</w:t>
            </w: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r>
              <w:rPr>
                <w:rFonts w:hint="default" w:ascii="Times New Roman" w:hAnsi="Times New Roman" w:eastAsia="宋体" w:cs="Times New Roman"/>
                <w:b/>
                <w:bCs/>
                <w:color w:val="auto"/>
                <w:sz w:val="21"/>
                <w:szCs w:val="21"/>
                <w:highlight w:val="none"/>
                <w:lang w:bidi="en-US"/>
              </w:rPr>
              <w:t>表</w:t>
            </w:r>
            <w:r>
              <w:rPr>
                <w:rFonts w:hint="eastAsia" w:ascii="Times New Roman" w:hAnsi="Times New Roman" w:cs="Times New Roman"/>
                <w:b/>
                <w:bCs/>
                <w:color w:val="auto"/>
                <w:sz w:val="21"/>
                <w:szCs w:val="21"/>
                <w:highlight w:val="none"/>
                <w:lang w:val="en-US" w:eastAsia="zh-CN" w:bidi="en-US"/>
              </w:rPr>
              <w:t>1-3</w:t>
            </w:r>
            <w:r>
              <w:rPr>
                <w:rFonts w:hint="default" w:ascii="Times New Roman" w:hAnsi="Times New Roman" w:eastAsia="宋体" w:cs="Times New Roman"/>
                <w:b/>
                <w:bCs/>
                <w:color w:val="auto"/>
                <w:sz w:val="21"/>
                <w:szCs w:val="21"/>
                <w:highlight w:val="none"/>
                <w:lang w:bidi="en-US"/>
              </w:rPr>
              <w:t xml:space="preserve">      与</w:t>
            </w:r>
            <w:r>
              <w:rPr>
                <w:rFonts w:hint="default" w:ascii="Times New Roman" w:hAnsi="Times New Roman" w:eastAsia="宋体" w:cs="Times New Roman"/>
                <w:b/>
                <w:bCs/>
                <w:color w:val="auto"/>
                <w:kern w:val="0"/>
                <w:sz w:val="21"/>
                <w:szCs w:val="21"/>
                <w:highlight w:val="none"/>
                <w:lang w:val="en-US" w:eastAsia="zh-CN" w:bidi="ar-SA"/>
              </w:rPr>
              <w:t>《新源县国土空间总体规划（2021-2035）》</w:t>
            </w:r>
            <w:r>
              <w:rPr>
                <w:rFonts w:hint="eastAsia" w:ascii="Times New Roman" w:hAnsi="Times New Roman" w:cs="Times New Roman"/>
                <w:b/>
                <w:bCs/>
                <w:color w:val="auto"/>
                <w:kern w:val="0"/>
                <w:sz w:val="21"/>
                <w:szCs w:val="21"/>
                <w:highlight w:val="none"/>
                <w:lang w:val="en-US" w:eastAsia="zh-CN" w:bidi="ar-SA"/>
              </w:rPr>
              <w:t>符合性分析</w:t>
            </w:r>
          </w:p>
          <w:tbl>
            <w:tblPr>
              <w:tblStyle w:val="14"/>
              <w:tblW w:w="8750"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810"/>
              <w:gridCol w:w="3066"/>
              <w:gridCol w:w="87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4810"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要求</w:t>
                  </w:r>
                </w:p>
              </w:tc>
              <w:tc>
                <w:tcPr>
                  <w:tcW w:w="3066"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本项目情况</w:t>
                  </w:r>
                </w:p>
              </w:tc>
              <w:tc>
                <w:tcPr>
                  <w:tcW w:w="874"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jc w:val="center"/>
              </w:trPr>
              <w:tc>
                <w:tcPr>
                  <w:tcW w:w="4810"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ascii="Times New Roman" w:hAnsi="Times New Roman" w:eastAsia="宋体" w:cs="Times New Roman"/>
                      <w:b/>
                      <w:bCs/>
                      <w:color w:val="auto"/>
                      <w:spacing w:val="4"/>
                      <w:kern w:val="2"/>
                      <w:sz w:val="21"/>
                      <w:szCs w:val="21"/>
                      <w:highlight w:val="none"/>
                      <w:lang w:val="en-US" w:eastAsia="zh-CN" w:bidi="en-US"/>
                    </w:rPr>
                    <w:t>优先划定</w:t>
                  </w:r>
                  <w:r>
                    <w:rPr>
                      <w:rFonts w:hint="default" w:ascii="Times New Roman" w:hAnsi="Times New Roman" w:eastAsia="宋体" w:cs="Times New Roman"/>
                      <w:b/>
                      <w:bCs/>
                      <w:color w:val="auto"/>
                      <w:spacing w:val="4"/>
                      <w:kern w:val="2"/>
                      <w:sz w:val="21"/>
                      <w:szCs w:val="21"/>
                      <w:highlight w:val="none"/>
                      <w:lang w:val="en-US" w:eastAsia="zh-CN" w:bidi="en-US"/>
                    </w:rPr>
                    <w:t>耕地和永久基本农田</w:t>
                  </w:r>
                  <w:r>
                    <w:rPr>
                      <w:rFonts w:hint="eastAsia" w:ascii="Times New Roman" w:hAnsi="Times New Roman" w:eastAsia="宋体" w:cs="Times New Roman"/>
                      <w:b/>
                      <w:bCs/>
                      <w:color w:val="auto"/>
                      <w:spacing w:val="4"/>
                      <w:kern w:val="2"/>
                      <w:sz w:val="21"/>
                      <w:szCs w:val="21"/>
                      <w:highlight w:val="none"/>
                      <w:lang w:val="en-US" w:eastAsia="zh-CN" w:bidi="en-US"/>
                    </w:rPr>
                    <w:t>：</w:t>
                  </w:r>
                  <w:r>
                    <w:rPr>
                      <w:rFonts w:ascii="Times New Roman" w:hAnsi="Times New Roman" w:eastAsia="宋体" w:cs="Times New Roman"/>
                      <w:color w:val="auto"/>
                      <w:spacing w:val="4"/>
                      <w:kern w:val="2"/>
                      <w:sz w:val="21"/>
                      <w:szCs w:val="21"/>
                      <w:highlight w:val="none"/>
                      <w:lang w:val="en-US" w:eastAsia="zh-CN" w:bidi="en-US"/>
                    </w:rPr>
                    <w:t>基于应划尽划、应保尽保的原则，根据耕地分布、质量、粮食作物种植情况、</w:t>
                  </w:r>
                  <w:r>
                    <w:rPr>
                      <w:rFonts w:hint="eastAsia" w:ascii="Times New Roman" w:hAnsi="Times New Roman" w:eastAsia="宋体" w:cs="Times New Roman"/>
                      <w:color w:val="auto"/>
                      <w:spacing w:val="4"/>
                      <w:kern w:val="2"/>
                      <w:sz w:val="21"/>
                      <w:szCs w:val="21"/>
                      <w:highlight w:val="none"/>
                      <w:lang w:val="en-US" w:eastAsia="zh-CN" w:bidi="en-US"/>
                    </w:rPr>
                    <w:t xml:space="preserve">种植业适宜性评价，将符合条件的耕地全部纳入耕地保护目标，将可以长期稳定利用的耕地优先划入永久基本农田。耕地和永久基本农田一经划定，未经批准不得擅自调整。严格落实耕地用途管制，落实耕地占补平衡和进出平衡，优先保护城市周边永久基本农田和优质耕地。 </w:t>
                  </w:r>
                </w:p>
              </w:tc>
              <w:tc>
                <w:tcPr>
                  <w:tcW w:w="3066" w:type="dxa"/>
                  <w:tcBorders>
                    <w:tl2br w:val="nil"/>
                    <w:tr2bl w:val="nil"/>
                  </w:tcBorders>
                  <w:vAlign w:val="center"/>
                </w:tcPr>
                <w:p>
                  <w:pPr>
                    <w:pStyle w:val="31"/>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w:t>
                  </w:r>
                  <w:r>
                    <w:rPr>
                      <w:rFonts w:hint="eastAsia" w:cs="Times New Roman"/>
                      <w:color w:val="auto"/>
                      <w:spacing w:val="4"/>
                      <w:kern w:val="2"/>
                      <w:sz w:val="21"/>
                      <w:szCs w:val="21"/>
                      <w:highlight w:val="none"/>
                      <w:lang w:eastAsia="zh-CN"/>
                    </w:rPr>
                    <w:t>为粘土矿开采，不占用耕地和基本农田</w:t>
                  </w:r>
                </w:p>
              </w:tc>
              <w:tc>
                <w:tcPr>
                  <w:tcW w:w="874" w:type="dxa"/>
                  <w:tcBorders>
                    <w:tl2br w:val="nil"/>
                    <w:tr2bl w:val="nil"/>
                  </w:tcBorders>
                  <w:vAlign w:val="center"/>
                </w:tcPr>
                <w:p>
                  <w:pPr>
                    <w:pStyle w:val="3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810"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b/>
                      <w:bCs/>
                      <w:color w:val="auto"/>
                      <w:kern w:val="0"/>
                      <w:sz w:val="21"/>
                      <w:szCs w:val="21"/>
                      <w:highlight w:val="none"/>
                      <w:lang w:val="en-US" w:eastAsia="zh-CN" w:bidi="en-US"/>
                    </w:rPr>
                    <w:t>科学划定</w:t>
                  </w:r>
                  <w:r>
                    <w:rPr>
                      <w:rFonts w:hint="default" w:ascii="Times New Roman" w:hAnsi="Times New Roman" w:eastAsia="宋体" w:cs="Times New Roman"/>
                      <w:b/>
                      <w:bCs/>
                      <w:color w:val="auto"/>
                      <w:kern w:val="0"/>
                      <w:sz w:val="21"/>
                      <w:szCs w:val="21"/>
                      <w:highlight w:val="none"/>
                      <w:lang w:val="en-US" w:eastAsia="zh-CN" w:bidi="en-US"/>
                    </w:rPr>
                    <w:t>生态保护红线</w:t>
                  </w:r>
                  <w:r>
                    <w:rPr>
                      <w:rFonts w:hint="eastAsia" w:ascii="Times New Roman" w:hAnsi="Times New Roman" w:eastAsia="宋体" w:cs="Times New Roman"/>
                      <w:b/>
                      <w:bCs/>
                      <w:color w:val="auto"/>
                      <w:kern w:val="0"/>
                      <w:sz w:val="21"/>
                      <w:szCs w:val="21"/>
                      <w:highlight w:val="none"/>
                      <w:lang w:val="en-US" w:eastAsia="zh-CN" w:bidi="en-US"/>
                    </w:rPr>
                    <w:t>：</w:t>
                  </w:r>
                  <w:r>
                    <w:rPr>
                      <w:rFonts w:hint="eastAsia" w:ascii="Times New Roman" w:hAnsi="Times New Roman" w:eastAsia="宋体" w:cs="Times New Roman"/>
                      <w:color w:val="auto"/>
                      <w:kern w:val="0"/>
                      <w:sz w:val="21"/>
                      <w:szCs w:val="21"/>
                      <w:highlight w:val="none"/>
                      <w:lang w:val="en-US" w:eastAsia="zh-CN" w:bidi="en-US"/>
                    </w:rPr>
                    <w:t>将生态功能极重要、生态极脆弱以及具有潜在重要生态价值的区域纳入生态保护红线，包括整合优化后的自然保护地。生态保护红线一经划定，未经批准，严禁擅自调整。确需调整的，调整方案按有关规定执行，应保证“生态功能不降低、面积不减少、性质不改变”。</w:t>
                  </w:r>
                </w:p>
              </w:tc>
              <w:tc>
                <w:tcPr>
                  <w:tcW w:w="3066" w:type="dxa"/>
                  <w:tcBorders>
                    <w:tl2br w:val="nil"/>
                    <w:tr2bl w:val="nil"/>
                  </w:tcBorders>
                  <w:vAlign w:val="center"/>
                </w:tcPr>
                <w:p>
                  <w:pPr>
                    <w:pStyle w:val="31"/>
                    <w:jc w:val="center"/>
                    <w:rPr>
                      <w:rFonts w:hint="default"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kern w:val="0"/>
                      <w:sz w:val="21"/>
                      <w:szCs w:val="21"/>
                      <w:highlight w:val="none"/>
                      <w:lang w:val="en-US" w:eastAsia="zh-CN" w:bidi="ar-SA"/>
                    </w:rPr>
                    <w:t>项目</w:t>
                  </w:r>
                  <w:r>
                    <w:rPr>
                      <w:rFonts w:hint="eastAsia" w:ascii="Times New Roman" w:hAnsi="Times New Roman" w:cs="Times New Roman"/>
                      <w:color w:val="auto"/>
                      <w:kern w:val="0"/>
                      <w:sz w:val="21"/>
                      <w:szCs w:val="21"/>
                      <w:highlight w:val="none"/>
                      <w:lang w:val="en-US" w:eastAsia="zh-CN" w:bidi="ar-SA"/>
                    </w:rPr>
                    <w:t>占地</w:t>
                  </w:r>
                  <w:r>
                    <w:rPr>
                      <w:rFonts w:hint="eastAsia" w:ascii="Times New Roman" w:hAnsi="Times New Roman" w:eastAsia="宋体" w:cs="Times New Roman"/>
                      <w:color w:val="auto"/>
                      <w:kern w:val="0"/>
                      <w:sz w:val="21"/>
                      <w:szCs w:val="21"/>
                      <w:highlight w:val="none"/>
                      <w:lang w:val="en-US" w:eastAsia="zh-CN" w:bidi="ar-SA"/>
                    </w:rPr>
                    <w:t>不涉及自然保护区、风景名胜区、饮用水源保护区、冰川、森林、湿地、基本农田、基本草原等环境敏感区，项目的建设不涉及</w:t>
                  </w:r>
                  <w:r>
                    <w:rPr>
                      <w:rFonts w:hint="eastAsia" w:ascii="Times New Roman" w:hAnsi="Times New Roman" w:cs="Times New Roman"/>
                      <w:color w:val="auto"/>
                      <w:kern w:val="0"/>
                      <w:sz w:val="21"/>
                      <w:szCs w:val="21"/>
                      <w:highlight w:val="none"/>
                      <w:lang w:val="en-US" w:eastAsia="zh-CN" w:bidi="ar-SA"/>
                    </w:rPr>
                    <w:t>新源县</w:t>
                  </w:r>
                  <w:r>
                    <w:rPr>
                      <w:rFonts w:hint="eastAsia" w:ascii="Times New Roman" w:hAnsi="Times New Roman" w:eastAsia="宋体" w:cs="Times New Roman"/>
                      <w:color w:val="auto"/>
                      <w:kern w:val="0"/>
                      <w:sz w:val="21"/>
                      <w:szCs w:val="21"/>
                      <w:highlight w:val="none"/>
                      <w:lang w:val="en-US" w:eastAsia="zh-CN" w:bidi="ar-SA"/>
                    </w:rPr>
                    <w:t>生态保护红线。</w:t>
                  </w:r>
                </w:p>
              </w:tc>
              <w:tc>
                <w:tcPr>
                  <w:tcW w:w="874" w:type="dxa"/>
                  <w:tcBorders>
                    <w:tl2br w:val="nil"/>
                    <w:tr2bl w:val="nil"/>
                  </w:tcBorders>
                  <w:vAlign w:val="center"/>
                </w:tcPr>
                <w:p>
                  <w:pPr>
                    <w:pStyle w:val="3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810"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b/>
                      <w:bCs/>
                      <w:color w:val="auto"/>
                      <w:kern w:val="0"/>
                      <w:sz w:val="21"/>
                      <w:szCs w:val="21"/>
                      <w:highlight w:val="none"/>
                      <w:lang w:val="en-US" w:eastAsia="zh-CN" w:bidi="en-US"/>
                    </w:rPr>
                  </w:pPr>
                  <w:r>
                    <w:rPr>
                      <w:rFonts w:hint="eastAsia" w:ascii="Times New Roman" w:hAnsi="Times New Roman" w:eastAsia="宋体" w:cs="Times New Roman"/>
                      <w:b/>
                      <w:bCs/>
                      <w:color w:val="auto"/>
                      <w:kern w:val="0"/>
                      <w:sz w:val="21"/>
                      <w:szCs w:val="21"/>
                      <w:highlight w:val="none"/>
                      <w:lang w:val="en-US" w:eastAsia="zh-CN" w:bidi="en-US"/>
                    </w:rPr>
                    <w:t>保护重要饮用水水源：</w:t>
                  </w:r>
                  <w:r>
                    <w:rPr>
                      <w:rFonts w:hint="eastAsia" w:ascii="Times New Roman" w:hAnsi="Times New Roman" w:eastAsia="宋体" w:cs="Times New Roman"/>
                      <w:color w:val="auto"/>
                      <w:kern w:val="0"/>
                      <w:sz w:val="21"/>
                      <w:szCs w:val="21"/>
                      <w:highlight w:val="none"/>
                      <w:lang w:val="en-US" w:eastAsia="zh-CN" w:bidi="en-US"/>
                    </w:rPr>
                    <w:t xml:space="preserve">新源县涉及地表水、地下水两类饮用水水源一级保护区，应予以重点保护。 </w:t>
                  </w:r>
                </w:p>
              </w:tc>
              <w:tc>
                <w:tcPr>
                  <w:tcW w:w="3066" w:type="dxa"/>
                  <w:tcBorders>
                    <w:tl2br w:val="nil"/>
                    <w:tr2bl w:val="nil"/>
                  </w:tcBorders>
                  <w:vAlign w:val="center"/>
                </w:tcPr>
                <w:p>
                  <w:pPr>
                    <w:pStyle w:val="31"/>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本项目矿区范围内不涉及地表水、地下水饮用水水源一级保护区。</w:t>
                  </w:r>
                </w:p>
              </w:tc>
              <w:tc>
                <w:tcPr>
                  <w:tcW w:w="874" w:type="dxa"/>
                  <w:tcBorders>
                    <w:tl2br w:val="nil"/>
                    <w:tr2bl w:val="nil"/>
                  </w:tcBorders>
                  <w:vAlign w:val="center"/>
                </w:tcPr>
                <w:p>
                  <w:pPr>
                    <w:pStyle w:val="31"/>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符合</w:t>
                  </w:r>
                </w:p>
              </w:tc>
            </w:tr>
          </w:tbl>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eastAsia="宋体"/>
                <w:color w:val="auto"/>
                <w:highlight w:val="none"/>
                <w:lang w:val="en-US" w:eastAsia="zh-CN"/>
              </w:rPr>
            </w:pPr>
            <w:r>
              <w:rPr>
                <w:rFonts w:hint="eastAsia" w:ascii="Times New Roman" w:hAnsi="Times New Roman" w:eastAsia="宋体" w:cs="Times New Roman"/>
                <w:color w:val="auto"/>
                <w:sz w:val="21"/>
                <w:szCs w:val="21"/>
                <w:highlight w:val="none"/>
                <w:lang w:val="en-US" w:eastAsia="zh-CN" w:bidi="ar-SA"/>
              </w:rPr>
              <w:t>综上所述，本项目符合《</w:t>
            </w:r>
            <w:r>
              <w:rPr>
                <w:rFonts w:hint="default" w:ascii="Times New Roman" w:hAnsi="Times New Roman" w:eastAsia="宋体" w:cs="Times New Roman"/>
                <w:b w:val="0"/>
                <w:bCs w:val="0"/>
                <w:color w:val="auto"/>
                <w:kern w:val="0"/>
                <w:sz w:val="21"/>
                <w:szCs w:val="21"/>
                <w:highlight w:val="none"/>
                <w:lang w:val="en-US" w:eastAsia="zh-CN" w:bidi="ar-SA"/>
              </w:rPr>
              <w:t>新源县国土空间总体规划（2021-2035）</w:t>
            </w:r>
            <w:r>
              <w:rPr>
                <w:rFonts w:hint="eastAsia" w:ascii="Times New Roman" w:hAnsi="Times New Roman" w:eastAsia="宋体" w:cs="Times New Roman"/>
                <w:color w:val="auto"/>
                <w:sz w:val="21"/>
                <w:szCs w:val="21"/>
                <w:highlight w:val="none"/>
                <w:lang w:val="en-US" w:eastAsia="zh-CN" w:bidi="ar-SA"/>
              </w:rPr>
              <w:t>》相关要求。</w:t>
            </w:r>
          </w:p>
          <w:p>
            <w:pPr>
              <w:pStyle w:val="32"/>
              <w:keepNext w:val="0"/>
              <w:keepLines w:val="0"/>
              <w:pageBreakBefore w:val="0"/>
              <w:numPr>
                <w:ilvl w:val="0"/>
                <w:numId w:val="0"/>
              </w:numPr>
              <w:kinsoku/>
              <w:wordWrap/>
              <w:overflowPunct/>
              <w:topLinePunct w:val="0"/>
              <w:autoSpaceDE w:val="0"/>
              <w:autoSpaceDN w:val="0"/>
              <w:bidi w:val="0"/>
              <w:adjustRightInd/>
              <w:snapToGrid/>
              <w:spacing w:after="0" w:afterLines="0" w:line="360" w:lineRule="auto"/>
              <w:ind w:leftChars="0"/>
              <w:jc w:val="both"/>
              <w:textAlignment w:val="auto"/>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b/>
                <w:bCs/>
                <w:color w:val="auto"/>
                <w:kern w:val="0"/>
                <w:sz w:val="21"/>
                <w:szCs w:val="21"/>
                <w:highlight w:val="none"/>
                <w:lang w:val="en-US" w:eastAsia="zh-CN" w:bidi="ar-SA"/>
              </w:rPr>
              <w:t>12、与</w:t>
            </w:r>
            <w:r>
              <w:rPr>
                <w:rFonts w:hint="default" w:ascii="Times New Roman" w:hAnsi="Times New Roman" w:eastAsia="宋体" w:cs="Times New Roman"/>
                <w:b/>
                <w:bCs/>
                <w:color w:val="auto"/>
                <w:kern w:val="0"/>
                <w:sz w:val="21"/>
                <w:szCs w:val="21"/>
                <w:highlight w:val="none"/>
                <w:lang w:val="en-US" w:eastAsia="zh-CN" w:bidi="ar-SA"/>
              </w:rPr>
              <w:t>《新疆维吾尔自治区大气污染防治条例》</w:t>
            </w:r>
            <w:r>
              <w:rPr>
                <w:rFonts w:hint="eastAsia" w:ascii="Times New Roman" w:hAnsi="Times New Roman" w:eastAsia="宋体" w:cs="Times New Roman"/>
                <w:b/>
                <w:bCs/>
                <w:color w:val="auto"/>
                <w:kern w:val="0"/>
                <w:sz w:val="21"/>
                <w:szCs w:val="21"/>
                <w:highlight w:val="none"/>
                <w:lang w:val="en-US" w:eastAsia="zh-CN" w:bidi="ar-SA"/>
              </w:rPr>
              <w:t>符合性分析</w:t>
            </w: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r>
              <w:rPr>
                <w:rFonts w:hint="default" w:ascii="Times New Roman" w:hAnsi="Times New Roman" w:eastAsia="宋体" w:cs="Times New Roman"/>
                <w:b/>
                <w:bCs/>
                <w:color w:val="auto"/>
                <w:sz w:val="21"/>
                <w:szCs w:val="21"/>
                <w:highlight w:val="none"/>
                <w:lang w:bidi="en-US"/>
              </w:rPr>
              <w:t>表</w:t>
            </w:r>
            <w:r>
              <w:rPr>
                <w:rFonts w:hint="eastAsia" w:ascii="Times New Roman" w:hAnsi="Times New Roman" w:cs="Times New Roman"/>
                <w:b/>
                <w:bCs/>
                <w:color w:val="auto"/>
                <w:sz w:val="21"/>
                <w:szCs w:val="21"/>
                <w:highlight w:val="none"/>
                <w:lang w:val="en-US" w:eastAsia="zh-CN" w:bidi="en-US"/>
              </w:rPr>
              <w:t>1-4</w:t>
            </w:r>
            <w:r>
              <w:rPr>
                <w:rFonts w:hint="default" w:ascii="Times New Roman" w:hAnsi="Times New Roman" w:eastAsia="宋体" w:cs="Times New Roman"/>
                <w:b/>
                <w:bCs/>
                <w:color w:val="auto"/>
                <w:sz w:val="21"/>
                <w:szCs w:val="21"/>
                <w:highlight w:val="none"/>
                <w:lang w:bidi="en-US"/>
              </w:rPr>
              <w:t xml:space="preserve">      与</w:t>
            </w:r>
            <w:r>
              <w:rPr>
                <w:rFonts w:hint="default" w:ascii="Times New Roman" w:hAnsi="Times New Roman" w:eastAsia="宋体" w:cs="Times New Roman"/>
                <w:b/>
                <w:bCs/>
                <w:color w:val="auto"/>
                <w:kern w:val="0"/>
                <w:sz w:val="21"/>
                <w:szCs w:val="21"/>
                <w:highlight w:val="none"/>
                <w:lang w:val="en-US" w:eastAsia="zh-CN" w:bidi="ar-SA"/>
              </w:rPr>
              <w:t>《新疆维吾尔自治区大气污染防治条例》</w:t>
            </w:r>
            <w:r>
              <w:rPr>
                <w:rFonts w:hint="eastAsia" w:ascii="Times New Roman" w:hAnsi="Times New Roman" w:cs="Times New Roman"/>
                <w:b/>
                <w:bCs/>
                <w:color w:val="auto"/>
                <w:kern w:val="0"/>
                <w:sz w:val="21"/>
                <w:szCs w:val="21"/>
                <w:highlight w:val="none"/>
                <w:lang w:val="en-US" w:eastAsia="zh-CN" w:bidi="ar-SA"/>
              </w:rPr>
              <w:t>符合性分析</w:t>
            </w:r>
          </w:p>
          <w:tbl>
            <w:tblPr>
              <w:tblStyle w:val="14"/>
              <w:tblW w:w="8750"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810"/>
              <w:gridCol w:w="3067"/>
              <w:gridCol w:w="87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4810"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要求</w:t>
                  </w:r>
                </w:p>
              </w:tc>
              <w:tc>
                <w:tcPr>
                  <w:tcW w:w="3067"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本项目情况</w:t>
                  </w:r>
                </w:p>
              </w:tc>
              <w:tc>
                <w:tcPr>
                  <w:tcW w:w="873"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jc w:val="center"/>
              </w:trPr>
              <w:tc>
                <w:tcPr>
                  <w:tcW w:w="4810"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default" w:ascii="Helvetica" w:hAnsi="Helvetica" w:eastAsia="Helvetica" w:cs="Helvetica"/>
                      <w:i w:val="0"/>
                      <w:iCs w:val="0"/>
                      <w:caps w:val="0"/>
                      <w:color w:val="auto"/>
                      <w:spacing w:val="0"/>
                      <w:kern w:val="0"/>
                      <w:sz w:val="21"/>
                      <w:szCs w:val="21"/>
                      <w:highlight w:val="none"/>
                      <w:shd w:val="clear" w:color="auto" w:fill="FFFFFF"/>
                      <w:lang w:val="en-US" w:eastAsia="zh-CN" w:bidi="ar"/>
                    </w:rPr>
                    <w:t>矿山开采产生的废石、废渣、泥土等应当堆放到专门存放地，并采取围挡、设置防尘网或者防尘布等防尘措施；施工便道应当硬化。</w:t>
                  </w:r>
                </w:p>
              </w:tc>
              <w:tc>
                <w:tcPr>
                  <w:tcW w:w="3067" w:type="dxa"/>
                  <w:tcBorders>
                    <w:tl2br w:val="nil"/>
                    <w:tr2bl w:val="nil"/>
                  </w:tcBorders>
                  <w:vAlign w:val="center"/>
                </w:tcPr>
                <w:p>
                  <w:pPr>
                    <w:pStyle w:val="31"/>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w:t>
                  </w:r>
                  <w:r>
                    <w:rPr>
                      <w:rFonts w:hint="eastAsia" w:cs="Times New Roman"/>
                      <w:color w:val="auto"/>
                      <w:spacing w:val="4"/>
                      <w:kern w:val="2"/>
                      <w:sz w:val="21"/>
                      <w:szCs w:val="21"/>
                      <w:highlight w:val="none"/>
                      <w:lang w:eastAsia="zh-CN"/>
                    </w:rPr>
                    <w:t>为粘土矿开采，</w:t>
                  </w:r>
                  <w:r>
                    <w:rPr>
                      <w:rFonts w:hint="eastAsia" w:ascii="Times New Roman" w:hAnsi="Times New Roman" w:cs="Times New Roman"/>
                      <w:color w:val="auto"/>
                      <w:sz w:val="21"/>
                      <w:szCs w:val="21"/>
                      <w:highlight w:val="none"/>
                      <w:lang w:eastAsia="zh-CN"/>
                    </w:rPr>
                    <w:t>不在项目区内破碎、筛分，无废弃粘土矿渣产生</w:t>
                  </w:r>
                  <w:r>
                    <w:rPr>
                      <w:rFonts w:hint="eastAsia" w:cs="Times New Roman"/>
                      <w:color w:val="auto"/>
                      <w:sz w:val="21"/>
                      <w:szCs w:val="21"/>
                      <w:highlight w:val="none"/>
                      <w:lang w:eastAsia="zh-CN"/>
                    </w:rPr>
                    <w:t>。项目对场区道路为石子路，对路面进行硬化，定期洒水降尘。</w:t>
                  </w:r>
                </w:p>
              </w:tc>
              <w:tc>
                <w:tcPr>
                  <w:tcW w:w="873" w:type="dxa"/>
                  <w:tcBorders>
                    <w:tl2br w:val="nil"/>
                    <w:tr2bl w:val="nil"/>
                  </w:tcBorders>
                  <w:vAlign w:val="center"/>
                </w:tcPr>
                <w:p>
                  <w:pPr>
                    <w:pStyle w:val="3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810" w:type="dxa"/>
                  <w:tcBorders>
                    <w:tl2br w:val="nil"/>
                    <w:tr2bl w:val="nil"/>
                  </w:tcBorders>
                  <w:vAlign w:val="center"/>
                </w:tcPr>
                <w:p>
                  <w:pPr>
                    <w:keepNext w:val="0"/>
                    <w:keepLines w:val="0"/>
                    <w:widowControl/>
                    <w:suppressLineNumbers w:val="0"/>
                    <w:shd w:val="clear" w:color="auto" w:fill="FFFFFF"/>
                    <w:spacing w:after="225" w:afterAutospacing="0" w:line="360" w:lineRule="atLeast"/>
                    <w:jc w:val="left"/>
                    <w:rPr>
                      <w:rFonts w:hint="default" w:ascii="Times New Roman" w:hAnsi="Times New Roman" w:eastAsia="宋体" w:cs="Times New Roman"/>
                      <w:color w:val="auto"/>
                      <w:sz w:val="21"/>
                      <w:szCs w:val="21"/>
                      <w:highlight w:val="none"/>
                      <w:lang w:eastAsia="zh-CN"/>
                    </w:rPr>
                  </w:pPr>
                  <w:r>
                    <w:rPr>
                      <w:rFonts w:hint="default" w:ascii="Helvetica" w:hAnsi="Helvetica" w:eastAsia="Helvetica" w:cs="Helvetica"/>
                      <w:i w:val="0"/>
                      <w:iCs w:val="0"/>
                      <w:caps w:val="0"/>
                      <w:color w:val="auto"/>
                      <w:spacing w:val="0"/>
                      <w:kern w:val="0"/>
                      <w:sz w:val="21"/>
                      <w:szCs w:val="21"/>
                      <w:highlight w:val="none"/>
                      <w:shd w:val="clear" w:color="auto" w:fill="FFFFFF"/>
                      <w:lang w:val="en-US" w:eastAsia="zh-CN" w:bidi="ar"/>
                    </w:rPr>
                    <w:t>在采石、采砂和其他矿产资源开采过程中，或者在停办、关闭矿山前，采矿权人应当整修被损坏的道路和露天采矿场的边坡、断面，恢复原有地貌，并按照规定处置矿山开采废弃物，防止扬尘污染。</w:t>
                  </w:r>
                </w:p>
              </w:tc>
              <w:tc>
                <w:tcPr>
                  <w:tcW w:w="3067" w:type="dxa"/>
                  <w:tcBorders>
                    <w:tl2br w:val="nil"/>
                    <w:tr2bl w:val="nil"/>
                  </w:tcBorders>
                  <w:vAlign w:val="center"/>
                </w:tcPr>
                <w:p>
                  <w:pPr>
                    <w:pStyle w:val="31"/>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本项目已编制矿山地质环境保护与土地复垦方案，闭矿后根据复垦方案进行复垦。</w:t>
                  </w:r>
                </w:p>
              </w:tc>
              <w:tc>
                <w:tcPr>
                  <w:tcW w:w="873" w:type="dxa"/>
                  <w:tcBorders>
                    <w:tl2br w:val="nil"/>
                    <w:tr2bl w:val="nil"/>
                  </w:tcBorders>
                  <w:vAlign w:val="center"/>
                </w:tcPr>
                <w:p>
                  <w:pPr>
                    <w:pStyle w:val="3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textAlignment w:val="auto"/>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13、</w:t>
            </w:r>
            <w:r>
              <w:rPr>
                <w:rFonts w:hint="eastAsia" w:ascii="Times New Roman" w:hAnsi="Times New Roman" w:eastAsia="宋体" w:cs="Times New Roman"/>
                <w:b/>
                <w:bCs/>
                <w:color w:val="auto"/>
                <w:kern w:val="0"/>
                <w:sz w:val="21"/>
                <w:szCs w:val="21"/>
                <w:highlight w:val="none"/>
                <w:lang w:val="en-US" w:eastAsia="zh-CN" w:bidi="ar-SA"/>
              </w:rPr>
              <w:t>与</w:t>
            </w:r>
            <w:r>
              <w:rPr>
                <w:rFonts w:hint="default" w:ascii="Times New Roman" w:hAnsi="Times New Roman" w:eastAsia="宋体" w:cs="Times New Roman"/>
                <w:b/>
                <w:bCs/>
                <w:color w:val="auto"/>
                <w:kern w:val="0"/>
                <w:sz w:val="21"/>
                <w:szCs w:val="21"/>
                <w:highlight w:val="none"/>
                <w:lang w:val="en-US" w:eastAsia="zh-CN" w:bidi="ar-SA"/>
              </w:rPr>
              <w:t>《非金属矿行业绿色矿山建设规范》（DZ/T 0312-2018）</w:t>
            </w:r>
            <w:r>
              <w:rPr>
                <w:rFonts w:hint="eastAsia" w:ascii="Times New Roman" w:hAnsi="Times New Roman" w:eastAsia="宋体" w:cs="Times New Roman"/>
                <w:b/>
                <w:bCs/>
                <w:color w:val="auto"/>
                <w:kern w:val="0"/>
                <w:sz w:val="21"/>
                <w:szCs w:val="21"/>
                <w:highlight w:val="none"/>
                <w:lang w:val="en-US" w:eastAsia="zh-CN" w:bidi="ar-SA"/>
              </w:rPr>
              <w:t>符合性分析</w:t>
            </w: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r>
              <w:rPr>
                <w:rFonts w:hint="default" w:ascii="Times New Roman" w:hAnsi="Times New Roman" w:eastAsia="宋体" w:cs="Times New Roman"/>
                <w:b/>
                <w:bCs/>
                <w:color w:val="auto"/>
                <w:sz w:val="21"/>
                <w:szCs w:val="21"/>
                <w:highlight w:val="none"/>
                <w:lang w:bidi="en-US"/>
              </w:rPr>
              <w:t>表</w:t>
            </w:r>
            <w:r>
              <w:rPr>
                <w:rFonts w:hint="eastAsia" w:ascii="Times New Roman" w:hAnsi="Times New Roman" w:cs="Times New Roman"/>
                <w:b/>
                <w:bCs/>
                <w:color w:val="auto"/>
                <w:sz w:val="21"/>
                <w:szCs w:val="21"/>
                <w:highlight w:val="none"/>
                <w:lang w:val="en-US" w:eastAsia="zh-CN" w:bidi="en-US"/>
              </w:rPr>
              <w:t>1-5</w:t>
            </w:r>
            <w:r>
              <w:rPr>
                <w:rFonts w:hint="default" w:ascii="Times New Roman" w:hAnsi="Times New Roman" w:eastAsia="宋体" w:cs="Times New Roman"/>
                <w:b/>
                <w:bCs/>
                <w:color w:val="auto"/>
                <w:sz w:val="21"/>
                <w:szCs w:val="21"/>
                <w:highlight w:val="none"/>
                <w:lang w:bidi="en-US"/>
              </w:rPr>
              <w:t xml:space="preserve">     与</w:t>
            </w:r>
            <w:r>
              <w:rPr>
                <w:rFonts w:hint="default" w:ascii="Times New Roman" w:hAnsi="Times New Roman" w:eastAsia="宋体" w:cs="Times New Roman"/>
                <w:b/>
                <w:bCs/>
                <w:color w:val="auto"/>
                <w:kern w:val="0"/>
                <w:sz w:val="21"/>
                <w:szCs w:val="21"/>
                <w:highlight w:val="none"/>
                <w:lang w:val="en-US" w:eastAsia="zh-CN" w:bidi="ar-SA"/>
              </w:rPr>
              <w:t>《非金属矿行业绿色矿山建设规范》</w:t>
            </w:r>
            <w:r>
              <w:rPr>
                <w:rFonts w:hint="eastAsia" w:ascii="Times New Roman" w:hAnsi="Times New Roman" w:cs="Times New Roman"/>
                <w:b/>
                <w:bCs/>
                <w:color w:val="auto"/>
                <w:kern w:val="0"/>
                <w:sz w:val="21"/>
                <w:szCs w:val="21"/>
                <w:highlight w:val="none"/>
                <w:lang w:val="en-US" w:eastAsia="zh-CN" w:bidi="ar-SA"/>
              </w:rPr>
              <w:t>符合性分析</w:t>
            </w:r>
          </w:p>
          <w:tbl>
            <w:tblPr>
              <w:tblStyle w:val="14"/>
              <w:tblW w:w="8750"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810"/>
              <w:gridCol w:w="3067"/>
              <w:gridCol w:w="87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4810"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要求</w:t>
                  </w:r>
                </w:p>
              </w:tc>
              <w:tc>
                <w:tcPr>
                  <w:tcW w:w="3067"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本项目情况</w:t>
                  </w:r>
                </w:p>
              </w:tc>
              <w:tc>
                <w:tcPr>
                  <w:tcW w:w="873" w:type="dxa"/>
                  <w:tcBorders>
                    <w:tl2br w:val="nil"/>
                    <w:tr2bl w:val="nil"/>
                  </w:tcBorders>
                  <w:vAlign w:val="center"/>
                </w:tcPr>
                <w:p>
                  <w:pPr>
                    <w:pStyle w:val="3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jc w:val="center"/>
              </w:trPr>
              <w:tc>
                <w:tcPr>
                  <w:tcW w:w="4810"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default" w:ascii="Helvetica" w:hAnsi="Helvetica" w:eastAsia="Helvetica" w:cs="Helvetica"/>
                      <w:i w:val="0"/>
                      <w:iCs w:val="0"/>
                      <w:caps w:val="0"/>
                      <w:color w:val="auto"/>
                      <w:spacing w:val="0"/>
                      <w:kern w:val="0"/>
                      <w:sz w:val="21"/>
                      <w:szCs w:val="21"/>
                      <w:highlight w:val="none"/>
                      <w:shd w:val="clear" w:color="auto" w:fill="FFFFFF"/>
                      <w:lang w:val="en-US" w:eastAsia="zh-CN" w:bidi="ar"/>
                    </w:rPr>
                    <w:t>矿山</w:t>
                  </w:r>
                  <w:r>
                    <w:rPr>
                      <w:rFonts w:hint="eastAsia" w:ascii="Helvetica" w:hAnsi="Helvetica" w:eastAsia="Helvetica" w:cs="Helvetica"/>
                      <w:i w:val="0"/>
                      <w:iCs w:val="0"/>
                      <w:caps w:val="0"/>
                      <w:color w:val="auto"/>
                      <w:spacing w:val="0"/>
                      <w:kern w:val="0"/>
                      <w:sz w:val="21"/>
                      <w:szCs w:val="21"/>
                      <w:highlight w:val="none"/>
                      <w:shd w:val="clear" w:color="auto" w:fill="FFFFFF"/>
                      <w:lang w:val="en-US" w:eastAsia="zh-CN" w:bidi="ar"/>
                    </w:rPr>
                    <w:t>应采取喷雾、洒水、湿式凿岩、加设除尘装置等措施处置采选、运输等过程产生的粉尘。</w:t>
                  </w:r>
                </w:p>
              </w:tc>
              <w:tc>
                <w:tcPr>
                  <w:tcW w:w="3067" w:type="dxa"/>
                  <w:tcBorders>
                    <w:tl2br w:val="nil"/>
                    <w:tr2bl w:val="nil"/>
                  </w:tcBorders>
                  <w:vAlign w:val="center"/>
                </w:tcPr>
                <w:p>
                  <w:pPr>
                    <w:pStyle w:val="31"/>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kern w:val="0"/>
                      <w:sz w:val="21"/>
                      <w:szCs w:val="21"/>
                      <w:highlight w:val="none"/>
                      <w:lang w:val="en-US" w:eastAsia="zh-CN" w:bidi="ar-SA"/>
                    </w:rPr>
                    <w:t>（1）</w:t>
                  </w:r>
                  <w:r>
                    <w:rPr>
                      <w:rFonts w:ascii="Times New Roman" w:hAnsi="Times New Roman" w:cs="Times New Roman"/>
                      <w:color w:val="auto"/>
                      <w:sz w:val="21"/>
                      <w:szCs w:val="21"/>
                      <w:highlight w:val="none"/>
                      <w:lang w:eastAsia="zh-CN"/>
                    </w:rPr>
                    <w:t>对开采区域、作业面采取洒水车洒水（2）项目区内</w:t>
                  </w:r>
                  <w:r>
                    <w:rPr>
                      <w:rFonts w:hint="eastAsia" w:ascii="Times New Roman" w:hAnsi="Times New Roman" w:cs="Times New Roman"/>
                      <w:color w:val="auto"/>
                      <w:sz w:val="21"/>
                      <w:szCs w:val="21"/>
                      <w:highlight w:val="none"/>
                      <w:lang w:eastAsia="zh-CN"/>
                    </w:rPr>
                    <w:t>砂石</w:t>
                  </w:r>
                  <w:r>
                    <w:rPr>
                      <w:rFonts w:ascii="Times New Roman" w:hAnsi="Times New Roman" w:cs="Times New Roman"/>
                      <w:color w:val="auto"/>
                      <w:sz w:val="21"/>
                      <w:szCs w:val="21"/>
                      <w:highlight w:val="none"/>
                      <w:lang w:eastAsia="zh-CN"/>
                    </w:rPr>
                    <w:t>硬化路面</w:t>
                  </w:r>
                  <w:r>
                    <w:rPr>
                      <w:rFonts w:hint="eastAsia" w:ascii="Times New Roman" w:hAnsi="Times New Roman" w:cs="Times New Roman"/>
                      <w:color w:val="auto"/>
                      <w:sz w:val="21"/>
                      <w:szCs w:val="21"/>
                      <w:highlight w:val="none"/>
                      <w:lang w:eastAsia="zh-CN"/>
                    </w:rPr>
                    <w:t>定期洒水降尘。</w:t>
                  </w:r>
                  <w:r>
                    <w:rPr>
                      <w:rFonts w:ascii="Times New Roman" w:hAnsi="Times New Roman" w:cs="Times New Roman"/>
                      <w:color w:val="auto"/>
                      <w:sz w:val="21"/>
                      <w:szCs w:val="21"/>
                      <w:highlight w:val="none"/>
                      <w:lang w:eastAsia="zh-CN"/>
                    </w:rPr>
                    <w:t>（3）粘土矿装载过程中配合雾炮机洒水抑尘措施。</w:t>
                  </w:r>
                </w:p>
              </w:tc>
              <w:tc>
                <w:tcPr>
                  <w:tcW w:w="873" w:type="dxa"/>
                  <w:tcBorders>
                    <w:tl2br w:val="nil"/>
                    <w:tr2bl w:val="nil"/>
                  </w:tcBorders>
                  <w:vAlign w:val="center"/>
                </w:tcPr>
                <w:p>
                  <w:pPr>
                    <w:pStyle w:val="3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810" w:type="dxa"/>
                  <w:tcBorders>
                    <w:tl2br w:val="nil"/>
                    <w:tr2bl w:val="nil"/>
                  </w:tcBorders>
                  <w:vAlign w:val="center"/>
                </w:tcPr>
                <w:p>
                  <w:pPr>
                    <w:keepNext w:val="0"/>
                    <w:keepLines w:val="0"/>
                    <w:widowControl/>
                    <w:suppressLineNumbers w:val="0"/>
                    <w:shd w:val="clear" w:color="auto" w:fill="FFFFFF"/>
                    <w:spacing w:after="225" w:afterAutospacing="0" w:line="360" w:lineRule="atLeast"/>
                    <w:jc w:val="left"/>
                    <w:rPr>
                      <w:rFonts w:hint="default" w:ascii="Times New Roman" w:hAnsi="Times New Roman" w:eastAsia="宋体" w:cs="Times New Roman"/>
                      <w:color w:val="auto"/>
                      <w:sz w:val="21"/>
                      <w:szCs w:val="21"/>
                      <w:highlight w:val="none"/>
                      <w:lang w:eastAsia="zh-CN"/>
                    </w:rPr>
                  </w:pPr>
                  <w:r>
                    <w:rPr>
                      <w:rFonts w:hint="default" w:ascii="Helvetica" w:hAnsi="Helvetica" w:eastAsia="Helvetica" w:cs="Helvetica"/>
                      <w:i w:val="0"/>
                      <w:iCs w:val="0"/>
                      <w:caps w:val="0"/>
                      <w:color w:val="auto"/>
                      <w:spacing w:val="0"/>
                      <w:kern w:val="0"/>
                      <w:sz w:val="21"/>
                      <w:szCs w:val="21"/>
                      <w:highlight w:val="none"/>
                      <w:shd w:val="clear" w:color="auto" w:fill="FFFFFF"/>
                      <w:lang w:val="en-US" w:eastAsia="zh-CN" w:bidi="ar"/>
                    </w:rPr>
                    <w:t>在采石、采砂和其他矿产资源开采过程中，或者在停办、关闭矿山前，采矿权人应当整修被损坏的道路和露天采矿场的边坡、断面，恢复原有地貌，并按照规定处置矿山开采废弃物，防止扬尘污染。</w:t>
                  </w:r>
                </w:p>
              </w:tc>
              <w:tc>
                <w:tcPr>
                  <w:tcW w:w="3067" w:type="dxa"/>
                  <w:tcBorders>
                    <w:tl2br w:val="nil"/>
                    <w:tr2bl w:val="nil"/>
                  </w:tcBorders>
                  <w:vAlign w:val="center"/>
                </w:tcPr>
                <w:p>
                  <w:pPr>
                    <w:pStyle w:val="31"/>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本项目已编制矿山地质环境保护与土地复垦方案，闭矿后根据复垦方案进行复垦。</w:t>
                  </w:r>
                </w:p>
              </w:tc>
              <w:tc>
                <w:tcPr>
                  <w:tcW w:w="873" w:type="dxa"/>
                  <w:tcBorders>
                    <w:tl2br w:val="nil"/>
                    <w:tr2bl w:val="nil"/>
                  </w:tcBorders>
                  <w:vAlign w:val="center"/>
                </w:tcPr>
                <w:p>
                  <w:pPr>
                    <w:pStyle w:val="3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bl>
          <w:p>
            <w:pPr>
              <w:pStyle w:val="18"/>
              <w:rPr>
                <w:rFonts w:ascii="Times New Roman" w:hAnsi="Times New Roman" w:cs="Times New Roman"/>
                <w:b/>
                <w:bCs/>
                <w:color w:val="auto"/>
                <w:sz w:val="21"/>
                <w:szCs w:val="21"/>
                <w:highlight w:val="none"/>
                <w:lang w:eastAsia="zh-CN"/>
              </w:rPr>
            </w:pPr>
          </w:p>
        </w:tc>
      </w:tr>
    </w:tbl>
    <w:p>
      <w:pPr>
        <w:rPr>
          <w:rFonts w:ascii="Times New Roman" w:hAnsi="Times New Roman" w:cs="Times New Roman"/>
          <w:sz w:val="21"/>
          <w:lang w:eastAsia="zh-CN"/>
        </w:rPr>
        <w:sectPr>
          <w:pgSz w:w="11913" w:h="16840"/>
          <w:pgMar w:top="1134" w:right="1134" w:bottom="1134" w:left="1134" w:header="0" w:footer="1043" w:gutter="0"/>
          <w:pgBorders>
            <w:top w:val="none" w:sz="0" w:space="0"/>
            <w:left w:val="none" w:sz="0" w:space="0"/>
            <w:bottom w:val="none" w:sz="0" w:space="0"/>
            <w:right w:val="none" w:sz="0" w:space="0"/>
          </w:pgBorders>
          <w:pgNumType w:start="1"/>
          <w:cols w:space="720" w:num="1"/>
          <w:docGrid w:linePitch="299" w:charSpace="0"/>
        </w:sectPr>
      </w:pPr>
    </w:p>
    <w:p>
      <w:pPr>
        <w:pStyle w:val="7"/>
        <w:spacing w:before="8"/>
        <w:jc w:val="center"/>
        <w:rPr>
          <w:rFonts w:ascii="Times New Roman" w:hAnsi="Times New Roman" w:cs="Times New Roman"/>
          <w:b/>
          <w:bCs/>
          <w:lang w:eastAsia="zh-CN"/>
        </w:rPr>
      </w:pPr>
      <w:r>
        <w:rPr>
          <w:rFonts w:ascii="Times New Roman" w:hAnsi="Times New Roman" w:cs="Times New Roman"/>
          <w:b/>
          <w:bCs/>
          <w:lang w:eastAsia="zh-CN"/>
        </w:rPr>
        <w:t>二、建设内容</w:t>
      </w:r>
    </w:p>
    <w:tbl>
      <w:tblPr>
        <w:tblStyle w:val="16"/>
        <w:tblW w:w="968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2"/>
        <w:gridCol w:w="88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8" w:hRule="atLeast"/>
        </w:trPr>
        <w:tc>
          <w:tcPr>
            <w:tcW w:w="872" w:type="dxa"/>
            <w:tcBorders>
              <w:bottom w:val="single" w:color="000000" w:sz="4" w:space="0"/>
              <w:right w:val="single" w:color="000000" w:sz="4" w:space="0"/>
            </w:tcBorders>
            <w:vAlign w:val="center"/>
          </w:tcPr>
          <w:p>
            <w:pPr>
              <w:pStyle w:val="18"/>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地理</w:t>
            </w:r>
          </w:p>
          <w:p>
            <w:pPr>
              <w:pStyle w:val="18"/>
              <w:jc w:val="center"/>
              <w:rPr>
                <w:rFonts w:ascii="Times New Roman" w:hAnsi="Times New Roman" w:cs="Times New Roman"/>
                <w:color w:val="auto"/>
                <w:sz w:val="21"/>
                <w:szCs w:val="21"/>
                <w:highlight w:val="none"/>
              </w:rPr>
            </w:pPr>
            <w:r>
              <w:rPr>
                <w:rFonts w:ascii="Times New Roman" w:hAnsi="Times New Roman" w:cs="Times New Roman"/>
                <w:b/>
                <w:bCs/>
                <w:color w:val="auto"/>
                <w:sz w:val="21"/>
                <w:szCs w:val="21"/>
                <w:highlight w:val="none"/>
              </w:rPr>
              <w:t>位置</w:t>
            </w:r>
          </w:p>
        </w:tc>
        <w:tc>
          <w:tcPr>
            <w:tcW w:w="8812" w:type="dxa"/>
            <w:tcBorders>
              <w:left w:val="single" w:color="000000" w:sz="4" w:space="0"/>
              <w:bottom w:val="single" w:color="000000" w:sz="4" w:space="0"/>
            </w:tcBorders>
          </w:tcPr>
          <w:p>
            <w:pPr>
              <w:autoSpaceDE/>
              <w:autoSpaceDN/>
              <w:spacing w:before="120" w:beforeLines="50"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ascii="Times New Roman" w:hAnsi="Times New Roman" w:cs="Times New Roman"/>
                <w:color w:val="auto"/>
                <w:spacing w:val="4"/>
                <w:kern w:val="2"/>
                <w:sz w:val="21"/>
                <w:szCs w:val="21"/>
                <w:highlight w:val="none"/>
                <w:lang w:eastAsia="zh-CN"/>
              </w:rPr>
              <w:t>项目建设地点位于</w:t>
            </w:r>
            <w:r>
              <w:rPr>
                <w:rFonts w:hint="eastAsia" w:ascii="Times New Roman" w:hAnsi="Times New Roman" w:eastAsia="宋体" w:cs="Times New Roman"/>
                <w:color w:val="auto"/>
                <w:sz w:val="21"/>
                <w:szCs w:val="21"/>
                <w:highlight w:val="none"/>
                <w:u w:val="none"/>
                <w:lang w:val="en-US" w:eastAsia="zh-CN" w:bidi="ar-SA"/>
              </w:rPr>
              <w:t>伊犁州新源县塔勒德镇新源县2</w:t>
            </w:r>
            <w:r>
              <w:rPr>
                <w:rFonts w:hint="eastAsia" w:ascii="Times New Roman" w:hAnsi="Times New Roman" w:cs="Times New Roman"/>
                <w:color w:val="auto"/>
                <w:sz w:val="21"/>
                <w:szCs w:val="21"/>
                <w:highlight w:val="none"/>
                <w:u w:val="none"/>
                <w:lang w:val="en-US" w:eastAsia="zh-CN" w:bidi="ar-SA"/>
              </w:rPr>
              <w:t>66</w:t>
            </w:r>
            <w:r>
              <w:rPr>
                <w:rFonts w:hint="eastAsia" w:ascii="Times New Roman" w:hAnsi="Times New Roman" w:eastAsia="宋体" w:cs="Times New Roman"/>
                <w:color w:val="auto"/>
                <w:sz w:val="21"/>
                <w:szCs w:val="21"/>
                <w:highlight w:val="none"/>
                <w:u w:val="none"/>
                <w:lang w:val="en-US" w:eastAsia="zh-CN" w:bidi="ar-SA"/>
              </w:rPr>
              <w:t>°方位约</w:t>
            </w:r>
            <w:r>
              <w:rPr>
                <w:rFonts w:hint="eastAsia" w:ascii="Times New Roman" w:hAnsi="Times New Roman" w:cs="Times New Roman"/>
                <w:color w:val="auto"/>
                <w:sz w:val="21"/>
                <w:szCs w:val="21"/>
                <w:highlight w:val="none"/>
                <w:u w:val="none"/>
                <w:lang w:val="en-US" w:eastAsia="zh-CN" w:bidi="ar-SA"/>
              </w:rPr>
              <w:t>22</w:t>
            </w:r>
            <w:r>
              <w:rPr>
                <w:rFonts w:hint="eastAsia" w:ascii="Times New Roman" w:hAnsi="Times New Roman" w:eastAsia="宋体" w:cs="Times New Roman"/>
                <w:color w:val="auto"/>
                <w:sz w:val="21"/>
                <w:szCs w:val="21"/>
                <w:highlight w:val="none"/>
                <w:u w:val="none"/>
                <w:lang w:val="en-US" w:eastAsia="zh-CN" w:bidi="ar-SA"/>
              </w:rPr>
              <w:t>km处</w:t>
            </w:r>
            <w:r>
              <w:rPr>
                <w:rFonts w:ascii="Times New Roman" w:hAnsi="Times New Roman" w:cs="Times New Roman"/>
                <w:color w:val="auto"/>
                <w:spacing w:val="4"/>
                <w:kern w:val="2"/>
                <w:sz w:val="21"/>
                <w:szCs w:val="21"/>
                <w:highlight w:val="none"/>
                <w:lang w:eastAsia="zh-CN"/>
              </w:rPr>
              <w:t>，</w:t>
            </w:r>
            <w:r>
              <w:rPr>
                <w:rFonts w:hint="eastAsia" w:ascii="Times New Roman" w:hAnsi="Times New Roman" w:cs="Times New Roman"/>
                <w:color w:val="auto"/>
                <w:spacing w:val="4"/>
                <w:kern w:val="2"/>
                <w:sz w:val="21"/>
                <w:szCs w:val="21"/>
                <w:highlight w:val="none"/>
                <w:lang w:eastAsia="zh-CN"/>
              </w:rPr>
              <w:t>项目区地理坐标为：</w:t>
            </w:r>
            <w:r>
              <w:rPr>
                <w:rFonts w:hint="eastAsia" w:ascii="Times New Roman" w:hAnsi="Times New Roman" w:cs="Times New Roman"/>
                <w:b w:val="0"/>
                <w:bCs w:val="0"/>
                <w:color w:val="auto"/>
                <w:sz w:val="21"/>
                <w:szCs w:val="21"/>
                <w:highlight w:val="none"/>
                <w:lang w:val="en-US" w:eastAsia="zh-CN"/>
              </w:rPr>
              <w:t>东经82°59′17.500″，北纬43°24′47.250″</w:t>
            </w: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项目地理位置见附图2。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872"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项目组成及规模</w:t>
            </w:r>
          </w:p>
        </w:tc>
        <w:tc>
          <w:tcPr>
            <w:tcW w:w="8812" w:type="dxa"/>
            <w:tcBorders>
              <w:top w:val="single" w:color="000000" w:sz="4" w:space="0"/>
              <w:left w:val="single" w:color="000000" w:sz="4" w:space="0"/>
              <w:bottom w:val="single" w:color="000000" w:sz="4" w:space="0"/>
            </w:tcBorders>
          </w:tcPr>
          <w:p>
            <w:pPr>
              <w:autoSpaceDE/>
              <w:autoSpaceDN/>
              <w:spacing w:line="360" w:lineRule="auto"/>
              <w:jc w:val="both"/>
              <w:rPr>
                <w:rFonts w:ascii="Times New Roman" w:hAnsi="Times New Roman" w:cs="Times New Roman"/>
                <w:b/>
                <w:bCs/>
                <w:color w:val="auto"/>
                <w:spacing w:val="4"/>
                <w:kern w:val="2"/>
                <w:sz w:val="21"/>
                <w:szCs w:val="21"/>
                <w:highlight w:val="none"/>
                <w:lang w:eastAsia="zh-CN"/>
              </w:rPr>
            </w:pPr>
            <w:r>
              <w:rPr>
                <w:rFonts w:ascii="Times New Roman" w:hAnsi="Times New Roman" w:cs="Times New Roman"/>
                <w:b/>
                <w:bCs/>
                <w:color w:val="auto"/>
                <w:spacing w:val="4"/>
                <w:kern w:val="2"/>
                <w:sz w:val="21"/>
                <w:szCs w:val="21"/>
                <w:highlight w:val="none"/>
                <w:lang w:eastAsia="zh-CN"/>
              </w:rPr>
              <w:t>1、</w:t>
            </w:r>
            <w:r>
              <w:rPr>
                <w:rFonts w:hint="eastAsia" w:ascii="Times New Roman" w:hAnsi="Times New Roman" w:cs="Times New Roman"/>
                <w:b/>
                <w:bCs/>
                <w:color w:val="auto"/>
                <w:spacing w:val="4"/>
                <w:kern w:val="2"/>
                <w:sz w:val="21"/>
                <w:szCs w:val="21"/>
                <w:highlight w:val="none"/>
                <w:lang w:eastAsia="zh-CN"/>
              </w:rPr>
              <w:t>建设内容</w:t>
            </w:r>
          </w:p>
          <w:p>
            <w:pPr>
              <w:autoSpaceDE/>
              <w:autoSpaceDN/>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ascii="Times New Roman" w:hAnsi="Times New Roman" w:cs="Times New Roman"/>
                <w:color w:val="auto"/>
                <w:spacing w:val="4"/>
                <w:kern w:val="2"/>
                <w:sz w:val="21"/>
                <w:szCs w:val="21"/>
                <w:highlight w:val="none"/>
                <w:lang w:eastAsia="zh-CN"/>
              </w:rPr>
              <w:t>项目矿区占地</w:t>
            </w:r>
            <w:r>
              <w:rPr>
                <w:rFonts w:hint="eastAsia" w:ascii="Times New Roman" w:hAnsi="Times New Roman" w:cs="Times New Roman"/>
                <w:color w:val="auto"/>
                <w:spacing w:val="4"/>
                <w:kern w:val="2"/>
                <w:sz w:val="21"/>
                <w:szCs w:val="21"/>
                <w:highlight w:val="none"/>
                <w:lang w:val="en-US" w:eastAsia="zh-CN"/>
              </w:rPr>
              <w:t>22600</w:t>
            </w:r>
            <w:r>
              <w:rPr>
                <w:rFonts w:ascii="Times New Roman" w:hAnsi="Times New Roman" w:cs="Times New Roman"/>
                <w:color w:val="auto"/>
                <w:spacing w:val="4"/>
                <w:kern w:val="2"/>
                <w:sz w:val="21"/>
                <w:szCs w:val="21"/>
                <w:highlight w:val="none"/>
                <w:lang w:eastAsia="zh-CN"/>
              </w:rPr>
              <w:t>m²，开采矿种为砖瓦用粘土矿，开采方式为机械露天开采，生产规模6万m³/a，服务年限为</w:t>
            </w:r>
            <w:r>
              <w:rPr>
                <w:rFonts w:hint="eastAsia" w:ascii="Times New Roman" w:hAnsi="Times New Roman" w:cs="Times New Roman"/>
                <w:color w:val="auto"/>
                <w:spacing w:val="4"/>
                <w:kern w:val="2"/>
                <w:sz w:val="21"/>
                <w:szCs w:val="21"/>
                <w:highlight w:val="none"/>
                <w:lang w:val="en-US" w:eastAsia="zh-CN"/>
              </w:rPr>
              <w:t>7.18</w:t>
            </w:r>
            <w:r>
              <w:rPr>
                <w:rFonts w:ascii="Times New Roman" w:hAnsi="Times New Roman" w:cs="Times New Roman"/>
                <w:color w:val="auto"/>
                <w:spacing w:val="4"/>
                <w:kern w:val="2"/>
                <w:sz w:val="21"/>
                <w:szCs w:val="21"/>
                <w:highlight w:val="none"/>
                <w:lang w:eastAsia="zh-CN"/>
              </w:rPr>
              <w:t>年，矿山开采标高</w:t>
            </w:r>
            <w:r>
              <w:rPr>
                <w:rFonts w:hint="eastAsia" w:ascii="Times New Roman" w:hAnsi="Times New Roman" w:cs="Times New Roman"/>
                <w:color w:val="auto"/>
                <w:spacing w:val="4"/>
                <w:kern w:val="2"/>
                <w:sz w:val="21"/>
                <w:szCs w:val="21"/>
                <w:highlight w:val="none"/>
                <w:lang w:val="en-US" w:eastAsia="zh-CN"/>
              </w:rPr>
              <w:t>1000～945</w:t>
            </w:r>
            <w:r>
              <w:rPr>
                <w:rFonts w:ascii="Times New Roman" w:hAnsi="Times New Roman" w:cs="Times New Roman"/>
                <w:color w:val="auto"/>
                <w:spacing w:val="4"/>
                <w:kern w:val="2"/>
                <w:sz w:val="21"/>
                <w:szCs w:val="21"/>
                <w:highlight w:val="none"/>
                <w:lang w:eastAsia="zh-CN"/>
              </w:rPr>
              <w:t>m，矿区范围拐点坐标见表</w:t>
            </w:r>
            <w:r>
              <w:rPr>
                <w:rFonts w:hint="eastAsia" w:ascii="Times New Roman" w:hAnsi="Times New Roman" w:cs="Times New Roman"/>
                <w:color w:val="auto"/>
                <w:spacing w:val="4"/>
                <w:kern w:val="2"/>
                <w:sz w:val="21"/>
                <w:szCs w:val="21"/>
                <w:highlight w:val="none"/>
                <w:lang w:val="en-US" w:eastAsia="zh-CN"/>
              </w:rPr>
              <w:t>2-</w:t>
            </w:r>
            <w:r>
              <w:rPr>
                <w:rFonts w:ascii="Times New Roman" w:hAnsi="Times New Roman" w:cs="Times New Roman"/>
                <w:color w:val="auto"/>
                <w:spacing w:val="4"/>
                <w:kern w:val="2"/>
                <w:sz w:val="21"/>
                <w:szCs w:val="21"/>
                <w:highlight w:val="none"/>
                <w:lang w:eastAsia="zh-CN"/>
              </w:rPr>
              <w:t>1，</w:t>
            </w:r>
            <w:r>
              <w:rPr>
                <w:rFonts w:hint="eastAsia" w:ascii="Times New Roman" w:hAnsi="Times New Roman" w:cs="Times New Roman"/>
                <w:color w:val="auto"/>
                <w:spacing w:val="4"/>
                <w:kern w:val="2"/>
                <w:sz w:val="21"/>
                <w:szCs w:val="21"/>
                <w:highlight w:val="none"/>
                <w:lang w:eastAsia="zh-CN"/>
              </w:rPr>
              <w:t>矿区范围见</w:t>
            </w:r>
            <w:r>
              <w:rPr>
                <w:rFonts w:ascii="Times New Roman" w:hAnsi="Times New Roman" w:cs="Times New Roman"/>
                <w:color w:val="auto"/>
                <w:spacing w:val="4"/>
                <w:kern w:val="2"/>
                <w:sz w:val="21"/>
                <w:szCs w:val="21"/>
                <w:highlight w:val="none"/>
                <w:lang w:eastAsia="zh-CN"/>
              </w:rPr>
              <w:t>附图3。</w:t>
            </w:r>
          </w:p>
          <w:p>
            <w:pPr>
              <w:autoSpaceDE/>
              <w:autoSpaceDN/>
              <w:jc w:val="center"/>
              <w:rPr>
                <w:rFonts w:ascii="Times New Roman" w:hAnsi="Times New Roman" w:cs="Times New Roman"/>
                <w:b/>
                <w:bCs/>
                <w:color w:val="auto"/>
                <w:spacing w:val="4"/>
                <w:kern w:val="2"/>
                <w:sz w:val="21"/>
                <w:szCs w:val="21"/>
                <w:highlight w:val="none"/>
                <w:lang w:eastAsia="zh-CN"/>
              </w:rPr>
            </w:pPr>
            <w:r>
              <w:rPr>
                <w:rFonts w:ascii="Times New Roman" w:hAnsi="Times New Roman" w:cs="Times New Roman"/>
                <w:b/>
                <w:bCs/>
                <w:color w:val="auto"/>
                <w:spacing w:val="4"/>
                <w:kern w:val="2"/>
                <w:sz w:val="21"/>
                <w:szCs w:val="21"/>
                <w:highlight w:val="none"/>
                <w:lang w:eastAsia="zh-CN"/>
              </w:rPr>
              <w:t>表</w:t>
            </w:r>
            <w:r>
              <w:rPr>
                <w:rFonts w:hint="eastAsia" w:ascii="Times New Roman" w:hAnsi="Times New Roman" w:cs="Times New Roman"/>
                <w:b/>
                <w:bCs/>
                <w:color w:val="auto"/>
                <w:spacing w:val="4"/>
                <w:kern w:val="2"/>
                <w:sz w:val="21"/>
                <w:szCs w:val="21"/>
                <w:highlight w:val="none"/>
                <w:lang w:val="en-US" w:eastAsia="zh-CN"/>
              </w:rPr>
              <w:t>2-</w:t>
            </w:r>
            <w:r>
              <w:rPr>
                <w:rFonts w:ascii="Times New Roman" w:hAnsi="Times New Roman" w:cs="Times New Roman"/>
                <w:b/>
                <w:bCs/>
                <w:color w:val="auto"/>
                <w:spacing w:val="4"/>
                <w:kern w:val="2"/>
                <w:sz w:val="21"/>
                <w:szCs w:val="21"/>
                <w:highlight w:val="none"/>
                <w:lang w:eastAsia="zh-CN"/>
              </w:rPr>
              <w:t xml:space="preserve">1    </w:t>
            </w:r>
            <w:r>
              <w:rPr>
                <w:rFonts w:hint="eastAsia" w:ascii="Times New Roman" w:hAnsi="Times New Roman" w:cs="Times New Roman"/>
                <w:b/>
                <w:bCs/>
                <w:color w:val="auto"/>
                <w:spacing w:val="4"/>
                <w:kern w:val="2"/>
                <w:sz w:val="21"/>
                <w:szCs w:val="21"/>
                <w:highlight w:val="none"/>
                <w:lang w:eastAsia="zh-CN"/>
              </w:rPr>
              <w:t>矿区范围</w:t>
            </w:r>
            <w:r>
              <w:rPr>
                <w:rFonts w:ascii="Times New Roman" w:hAnsi="Times New Roman" w:cs="Times New Roman"/>
                <w:b/>
                <w:bCs/>
                <w:color w:val="auto"/>
                <w:spacing w:val="4"/>
                <w:kern w:val="2"/>
                <w:sz w:val="21"/>
                <w:szCs w:val="21"/>
                <w:highlight w:val="none"/>
                <w:lang w:eastAsia="zh-CN"/>
              </w:rPr>
              <w:t>拐点坐标表</w:t>
            </w:r>
          </w:p>
          <w:tbl>
            <w:tblPr>
              <w:tblStyle w:val="14"/>
              <w:tblW w:w="8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11"/>
              <w:gridCol w:w="1984"/>
              <w:gridCol w:w="198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restart"/>
                  <w:vAlign w:val="center"/>
                </w:tcPr>
                <w:p>
                  <w:pPr>
                    <w:spacing w:line="360" w:lineRule="exact"/>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拐点</w:t>
                  </w:r>
                </w:p>
                <w:p>
                  <w:pPr>
                    <w:spacing w:line="360" w:lineRule="exact"/>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编号</w:t>
                  </w:r>
                </w:p>
              </w:tc>
              <w:tc>
                <w:tcPr>
                  <w:tcW w:w="3895" w:type="dxa"/>
                  <w:gridSpan w:val="2"/>
                  <w:vAlign w:val="center"/>
                </w:tcPr>
                <w:p>
                  <w:pPr>
                    <w:spacing w:line="360" w:lineRule="exact"/>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直角坐标</w:t>
                  </w:r>
                </w:p>
              </w:tc>
              <w:tc>
                <w:tcPr>
                  <w:tcW w:w="3836" w:type="dxa"/>
                  <w:gridSpan w:val="2"/>
                  <w:vAlign w:val="center"/>
                </w:tcPr>
                <w:p>
                  <w:pPr>
                    <w:spacing w:line="360" w:lineRule="exact"/>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地理坐标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spacing w:line="360" w:lineRule="exact"/>
                    <w:jc w:val="center"/>
                    <w:rPr>
                      <w:rFonts w:hint="default" w:ascii="Times New Roman" w:hAnsi="Times New Roman" w:eastAsia="宋体" w:cs="Times New Roman"/>
                      <w:b/>
                      <w:color w:val="auto"/>
                      <w:sz w:val="21"/>
                      <w:szCs w:val="21"/>
                      <w:highlight w:val="none"/>
                      <w:lang w:eastAsia="zh-CN"/>
                    </w:rPr>
                  </w:pPr>
                </w:p>
              </w:tc>
              <w:tc>
                <w:tcPr>
                  <w:tcW w:w="1911" w:type="dxa"/>
                  <w:vAlign w:val="center"/>
                </w:tcPr>
                <w:p>
                  <w:pPr>
                    <w:spacing w:line="360" w:lineRule="exact"/>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X</w:t>
                  </w:r>
                </w:p>
              </w:tc>
              <w:tc>
                <w:tcPr>
                  <w:tcW w:w="1984" w:type="dxa"/>
                  <w:vAlign w:val="center"/>
                </w:tcPr>
                <w:p>
                  <w:pPr>
                    <w:spacing w:line="360" w:lineRule="exact"/>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Y</w:t>
                  </w:r>
                </w:p>
              </w:tc>
              <w:tc>
                <w:tcPr>
                  <w:tcW w:w="1985" w:type="dxa"/>
                  <w:vAlign w:val="center"/>
                </w:tcPr>
                <w:p>
                  <w:pPr>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东经</w:t>
                  </w:r>
                </w:p>
              </w:tc>
              <w:tc>
                <w:tcPr>
                  <w:tcW w:w="1851" w:type="dxa"/>
                  <w:vAlign w:val="center"/>
                </w:tcPr>
                <w:p>
                  <w:pPr>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S</w:t>
                  </w:r>
                  <w:r>
                    <w:rPr>
                      <w:rFonts w:hint="default" w:ascii="Times New Roman" w:hAnsi="Times New Roman" w:eastAsia="宋体" w:cs="Times New Roman"/>
                      <w:color w:val="auto"/>
                      <w:sz w:val="21"/>
                      <w:szCs w:val="21"/>
                      <w:highlight w:val="none"/>
                      <w:lang w:eastAsia="zh-CN"/>
                    </w:rPr>
                    <w:t>1</w:t>
                  </w:r>
                </w:p>
              </w:tc>
              <w:tc>
                <w:tcPr>
                  <w:tcW w:w="1911"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bidi="ar"/>
                    </w:rPr>
                    <w:t>4809209.24</w:t>
                  </w:r>
                </w:p>
              </w:tc>
              <w:tc>
                <w:tcPr>
                  <w:tcW w:w="1984"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28417957.69</w:t>
                  </w:r>
                </w:p>
              </w:tc>
              <w:tc>
                <w:tcPr>
                  <w:tcW w:w="1985"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bidi="ar"/>
                    </w:rPr>
                    <w:t>82°59′13.30″</w:t>
                  </w:r>
                </w:p>
              </w:tc>
              <w:tc>
                <w:tcPr>
                  <w:tcW w:w="1851"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43°24′50.30″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S</w:t>
                  </w:r>
                  <w:r>
                    <w:rPr>
                      <w:rFonts w:hint="default" w:ascii="Times New Roman" w:hAnsi="Times New Roman" w:eastAsia="宋体" w:cs="Times New Roman"/>
                      <w:color w:val="auto"/>
                      <w:sz w:val="21"/>
                      <w:szCs w:val="21"/>
                      <w:highlight w:val="none"/>
                      <w:lang w:eastAsia="zh-CN"/>
                    </w:rPr>
                    <w:t>2</w:t>
                  </w:r>
                </w:p>
              </w:tc>
              <w:tc>
                <w:tcPr>
                  <w:tcW w:w="1911"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bidi="ar"/>
                    </w:rPr>
                    <w:t>4808970.76</w:t>
                  </w:r>
                </w:p>
              </w:tc>
              <w:tc>
                <w:tcPr>
                  <w:tcW w:w="1984"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28418047.45</w:t>
                  </w:r>
                </w:p>
              </w:tc>
              <w:tc>
                <w:tcPr>
                  <w:tcW w:w="1985"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bidi="ar"/>
                    </w:rPr>
                    <w:t>82°59′17.42″</w:t>
                  </w:r>
                </w:p>
              </w:tc>
              <w:tc>
                <w:tcPr>
                  <w:tcW w:w="1851"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43°24′42.61″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S</w:t>
                  </w:r>
                  <w:r>
                    <w:rPr>
                      <w:rFonts w:hint="default" w:ascii="Times New Roman" w:hAnsi="Times New Roman" w:eastAsia="宋体" w:cs="Times New Roman"/>
                      <w:color w:val="auto"/>
                      <w:sz w:val="21"/>
                      <w:szCs w:val="21"/>
                      <w:highlight w:val="none"/>
                      <w:lang w:eastAsia="zh-CN"/>
                    </w:rPr>
                    <w:t>3</w:t>
                  </w:r>
                </w:p>
              </w:tc>
              <w:tc>
                <w:tcPr>
                  <w:tcW w:w="1911"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bidi="ar"/>
                    </w:rPr>
                    <w:t>4809080.46</w:t>
                  </w:r>
                </w:p>
              </w:tc>
              <w:tc>
                <w:tcPr>
                  <w:tcW w:w="1984"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28418121.57</w:t>
                  </w:r>
                </w:p>
              </w:tc>
              <w:tc>
                <w:tcPr>
                  <w:tcW w:w="1985"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bidi="ar"/>
                    </w:rPr>
                    <w:t>82°59′20.65″</w:t>
                  </w:r>
                </w:p>
              </w:tc>
              <w:tc>
                <w:tcPr>
                  <w:tcW w:w="1851"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43°24′46.19″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S</w:t>
                  </w:r>
                  <w:r>
                    <w:rPr>
                      <w:rFonts w:hint="default" w:ascii="Times New Roman" w:hAnsi="Times New Roman" w:eastAsia="宋体" w:cs="Times New Roman"/>
                      <w:color w:val="auto"/>
                      <w:sz w:val="21"/>
                      <w:szCs w:val="21"/>
                      <w:highlight w:val="none"/>
                      <w:lang w:eastAsia="zh-CN"/>
                    </w:rPr>
                    <w:t>4</w:t>
                  </w:r>
                </w:p>
              </w:tc>
              <w:tc>
                <w:tcPr>
                  <w:tcW w:w="1911"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bidi="ar"/>
                    </w:rPr>
                    <w:t>4809242.58</w:t>
                  </w:r>
                </w:p>
              </w:tc>
              <w:tc>
                <w:tcPr>
                  <w:tcW w:w="1984"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28418051.91</w:t>
                  </w:r>
                </w:p>
              </w:tc>
              <w:tc>
                <w:tcPr>
                  <w:tcW w:w="1985"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bidi="ar"/>
                    </w:rPr>
                    <w:t>82°59′17.47″</w:t>
                  </w:r>
                </w:p>
              </w:tc>
              <w:tc>
                <w:tcPr>
                  <w:tcW w:w="1851" w:type="dxa"/>
                  <w:vAlign w:val="center"/>
                </w:tcPr>
                <w:p>
                  <w:pPr>
                    <w:keepNext w:val="0"/>
                    <w:keepLines w:val="0"/>
                    <w:widowControl/>
                    <w:suppressLineNumbers w:val="0"/>
                    <w:spacing w:line="440" w:lineRule="exact"/>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43°24′51.42″</w:t>
                  </w:r>
                </w:p>
              </w:tc>
            </w:tr>
          </w:tbl>
          <w:p>
            <w:pPr>
              <w:autoSpaceDE/>
              <w:autoSpaceDN/>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ascii="Times New Roman" w:hAnsi="Times New Roman" w:cs="Times New Roman"/>
                <w:color w:val="auto"/>
                <w:spacing w:val="4"/>
                <w:kern w:val="2"/>
                <w:sz w:val="21"/>
                <w:szCs w:val="21"/>
                <w:highlight w:val="none"/>
                <w:lang w:eastAsia="zh-CN"/>
              </w:rPr>
              <w:t>项目建设内容见表</w:t>
            </w:r>
            <w:r>
              <w:rPr>
                <w:rFonts w:hint="eastAsia" w:ascii="Times New Roman" w:hAnsi="Times New Roman" w:cs="Times New Roman"/>
                <w:color w:val="auto"/>
                <w:spacing w:val="4"/>
                <w:kern w:val="2"/>
                <w:sz w:val="21"/>
                <w:szCs w:val="21"/>
                <w:highlight w:val="none"/>
                <w:lang w:val="en-US" w:eastAsia="zh-CN"/>
              </w:rPr>
              <w:t>2-</w:t>
            </w:r>
            <w:r>
              <w:rPr>
                <w:rFonts w:ascii="Times New Roman" w:hAnsi="Times New Roman" w:cs="Times New Roman"/>
                <w:color w:val="auto"/>
                <w:spacing w:val="4"/>
                <w:kern w:val="2"/>
                <w:sz w:val="21"/>
                <w:szCs w:val="21"/>
                <w:highlight w:val="none"/>
                <w:lang w:eastAsia="zh-CN"/>
              </w:rPr>
              <w:t>2。</w:t>
            </w:r>
          </w:p>
          <w:p>
            <w:pPr>
              <w:autoSpaceDE/>
              <w:autoSpaceDN/>
              <w:jc w:val="center"/>
              <w:rPr>
                <w:rFonts w:ascii="Times New Roman" w:hAnsi="Times New Roman" w:cs="Times New Roman"/>
                <w:b/>
                <w:bCs/>
                <w:color w:val="auto"/>
                <w:spacing w:val="4"/>
                <w:kern w:val="2"/>
                <w:sz w:val="21"/>
                <w:szCs w:val="21"/>
                <w:highlight w:val="none"/>
                <w:lang w:eastAsia="zh-CN"/>
              </w:rPr>
            </w:pPr>
            <w:r>
              <w:rPr>
                <w:rFonts w:ascii="Times New Roman" w:hAnsi="Times New Roman" w:cs="Times New Roman"/>
                <w:b/>
                <w:bCs/>
                <w:color w:val="auto"/>
                <w:spacing w:val="4"/>
                <w:kern w:val="2"/>
                <w:sz w:val="21"/>
                <w:szCs w:val="21"/>
                <w:highlight w:val="none"/>
                <w:lang w:eastAsia="zh-CN"/>
              </w:rPr>
              <w:t>表</w:t>
            </w:r>
            <w:r>
              <w:rPr>
                <w:rFonts w:hint="eastAsia" w:ascii="Times New Roman" w:hAnsi="Times New Roman" w:cs="Times New Roman"/>
                <w:b/>
                <w:bCs/>
                <w:color w:val="auto"/>
                <w:spacing w:val="4"/>
                <w:kern w:val="2"/>
                <w:sz w:val="21"/>
                <w:szCs w:val="21"/>
                <w:highlight w:val="none"/>
                <w:lang w:val="en-US" w:eastAsia="zh-CN"/>
              </w:rPr>
              <w:t>2-</w:t>
            </w:r>
            <w:r>
              <w:rPr>
                <w:rFonts w:ascii="Times New Roman" w:hAnsi="Times New Roman" w:cs="Times New Roman"/>
                <w:b/>
                <w:bCs/>
                <w:color w:val="auto"/>
                <w:spacing w:val="4"/>
                <w:kern w:val="2"/>
                <w:sz w:val="21"/>
                <w:szCs w:val="21"/>
                <w:highlight w:val="none"/>
                <w:lang w:eastAsia="zh-CN"/>
              </w:rPr>
              <w:t>2    项目建设内容一览表</w:t>
            </w:r>
          </w:p>
          <w:tbl>
            <w:tblPr>
              <w:tblStyle w:val="15"/>
              <w:tblW w:w="8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135"/>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工程类别</w:t>
                  </w:r>
                </w:p>
              </w:tc>
              <w:tc>
                <w:tcPr>
                  <w:tcW w:w="1135"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工程名称</w:t>
                  </w:r>
                </w:p>
              </w:tc>
              <w:tc>
                <w:tcPr>
                  <w:tcW w:w="6874"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主体工程</w:t>
                  </w:r>
                </w:p>
              </w:tc>
              <w:tc>
                <w:tcPr>
                  <w:tcW w:w="1135"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黏土</w:t>
                  </w:r>
                  <w:r>
                    <w:rPr>
                      <w:rFonts w:ascii="Times New Roman" w:hAnsi="Times New Roman" w:cs="Times New Roman"/>
                      <w:color w:val="auto"/>
                      <w:sz w:val="21"/>
                      <w:szCs w:val="21"/>
                      <w:highlight w:val="none"/>
                      <w:lang w:eastAsia="zh-CN"/>
                    </w:rPr>
                    <w:t>开采</w:t>
                  </w:r>
                </w:p>
              </w:tc>
              <w:tc>
                <w:tcPr>
                  <w:tcW w:w="6874" w:type="dxa"/>
                  <w:vAlign w:val="center"/>
                </w:tcPr>
                <w:p>
                  <w:pPr>
                    <w:jc w:val="both"/>
                    <w:rPr>
                      <w:rFonts w:ascii="Times New Roman" w:hAnsi="Times New Roman" w:cs="Times New Roman" w:eastAsiaTheme="minorEastAsia"/>
                      <w:color w:val="auto"/>
                      <w:sz w:val="21"/>
                      <w:szCs w:val="21"/>
                      <w:highlight w:val="none"/>
                      <w:lang w:eastAsia="zh-CN"/>
                    </w:rPr>
                  </w:pPr>
                  <w:r>
                    <w:rPr>
                      <w:rFonts w:ascii="Times New Roman" w:hAnsi="Times New Roman" w:cs="Times New Roman" w:eastAsiaTheme="minorEastAsia"/>
                      <w:color w:val="auto"/>
                      <w:sz w:val="21"/>
                      <w:szCs w:val="21"/>
                      <w:highlight w:val="none"/>
                      <w:lang w:eastAsia="zh-CN"/>
                    </w:rPr>
                    <w:t>年开采6万m³粘土矿，机械露天开采。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储运工程</w:t>
                  </w:r>
                </w:p>
              </w:tc>
              <w:tc>
                <w:tcPr>
                  <w:tcW w:w="1135"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粘土堆场</w:t>
                  </w:r>
                </w:p>
              </w:tc>
              <w:tc>
                <w:tcPr>
                  <w:tcW w:w="6874" w:type="dxa"/>
                  <w:vAlign w:val="center"/>
                </w:tcPr>
                <w:p>
                  <w:pPr>
                    <w:jc w:val="both"/>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项目开采出的黏土直接运至砖厂粘土堆场，项目区内不设置粘土堆场。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restart"/>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公用工程</w:t>
                  </w:r>
                </w:p>
              </w:tc>
              <w:tc>
                <w:tcPr>
                  <w:tcW w:w="113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供水</w:t>
                  </w:r>
                </w:p>
              </w:tc>
              <w:tc>
                <w:tcPr>
                  <w:tcW w:w="6874" w:type="dxa"/>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项目抑尘用水由洒</w:t>
                  </w:r>
                  <w:r>
                    <w:rPr>
                      <w:rFonts w:ascii="Times New Roman" w:hAnsi="Times New Roman" w:cs="Times New Roman"/>
                      <w:color w:val="auto"/>
                      <w:sz w:val="21"/>
                      <w:szCs w:val="21"/>
                      <w:highlight w:val="none"/>
                      <w:lang w:eastAsia="zh-CN"/>
                    </w:rPr>
                    <w:t>水车拉运</w:t>
                  </w:r>
                  <w:r>
                    <w:rPr>
                      <w:rFonts w:hint="eastAsia" w:ascii="Times New Roman" w:hAnsi="Times New Roman" w:cs="Times New Roman"/>
                      <w:color w:val="auto"/>
                      <w:sz w:val="21"/>
                      <w:szCs w:val="21"/>
                      <w:highlight w:val="none"/>
                      <w:lang w:eastAsia="zh-CN"/>
                    </w:rPr>
                    <w:t>，生活用水依托砖厂。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color w:val="auto"/>
                      <w:sz w:val="21"/>
                      <w:szCs w:val="21"/>
                      <w:highlight w:val="none"/>
                      <w:lang w:eastAsia="zh-CN"/>
                    </w:rPr>
                  </w:pPr>
                </w:p>
              </w:tc>
              <w:tc>
                <w:tcPr>
                  <w:tcW w:w="113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排水</w:t>
                  </w:r>
                </w:p>
              </w:tc>
              <w:tc>
                <w:tcPr>
                  <w:tcW w:w="6874" w:type="dxa"/>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生活区与</w:t>
                  </w:r>
                  <w:r>
                    <w:rPr>
                      <w:rFonts w:hint="eastAsia" w:ascii="Times New Roman" w:hAnsi="Times New Roman" w:cs="Times New Roman"/>
                      <w:color w:val="auto"/>
                      <w:spacing w:val="4"/>
                      <w:kern w:val="2"/>
                      <w:sz w:val="21"/>
                      <w:szCs w:val="21"/>
                      <w:highlight w:val="none"/>
                      <w:lang w:val="en-US" w:eastAsia="zh-CN"/>
                    </w:rPr>
                    <w:t>新源县塔勒德镇阿克托别砖瓦用粘土矿共用，</w:t>
                  </w:r>
                  <w:r>
                    <w:rPr>
                      <w:rFonts w:hint="eastAsia" w:ascii="Times New Roman" w:hAnsi="Times New Roman" w:cs="Times New Roman"/>
                      <w:color w:val="auto"/>
                      <w:sz w:val="21"/>
                      <w:szCs w:val="21"/>
                      <w:highlight w:val="none"/>
                      <w:lang w:eastAsia="zh-CN"/>
                    </w:rPr>
                    <w:t>生活</w:t>
                  </w:r>
                  <w:r>
                    <w:rPr>
                      <w:rFonts w:ascii="Times New Roman" w:hAnsi="Times New Roman" w:cs="Times New Roman"/>
                      <w:color w:val="auto"/>
                      <w:sz w:val="21"/>
                      <w:szCs w:val="21"/>
                      <w:highlight w:val="none"/>
                      <w:lang w:eastAsia="zh-CN"/>
                    </w:rPr>
                    <w:t>污水</w:t>
                  </w:r>
                  <w:r>
                    <w:rPr>
                      <w:rFonts w:hint="eastAsia" w:ascii="Times New Roman" w:hAnsi="Times New Roman" w:cs="Times New Roman"/>
                      <w:color w:val="auto"/>
                      <w:sz w:val="21"/>
                      <w:szCs w:val="21"/>
                      <w:highlight w:val="none"/>
                      <w:lang w:eastAsia="zh-CN"/>
                    </w:rPr>
                    <w:t>排入</w:t>
                  </w:r>
                  <w:r>
                    <w:rPr>
                      <w:rFonts w:ascii="Times New Roman" w:hAnsi="Times New Roman" w:cs="Times New Roman"/>
                      <w:color w:val="auto"/>
                      <w:sz w:val="21"/>
                      <w:szCs w:val="21"/>
                      <w:highlight w:val="none"/>
                      <w:lang w:eastAsia="zh-CN"/>
                    </w:rPr>
                    <w:t>防渗化粪池收集</w:t>
                  </w:r>
                  <w:r>
                    <w:rPr>
                      <w:rFonts w:hint="eastAsia" w:ascii="Times New Roman" w:hAnsi="Times New Roman" w:cs="Times New Roman"/>
                      <w:color w:val="auto"/>
                      <w:sz w:val="21"/>
                      <w:szCs w:val="21"/>
                      <w:highlight w:val="none"/>
                      <w:lang w:eastAsia="zh-CN"/>
                    </w:rPr>
                    <w:t>，定期清掏拉运。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color w:val="auto"/>
                      <w:sz w:val="21"/>
                      <w:szCs w:val="21"/>
                      <w:highlight w:val="none"/>
                      <w:lang w:eastAsia="zh-CN"/>
                    </w:rPr>
                  </w:pPr>
                </w:p>
              </w:tc>
              <w:tc>
                <w:tcPr>
                  <w:tcW w:w="1135"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供电</w:t>
                  </w:r>
                </w:p>
              </w:tc>
              <w:tc>
                <w:tcPr>
                  <w:tcW w:w="6874" w:type="dxa"/>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w:t>
                  </w:r>
                  <w:r>
                    <w:rPr>
                      <w:rFonts w:ascii="Times New Roman" w:hAnsi="Times New Roman" w:cs="Times New Roman"/>
                      <w:color w:val="auto"/>
                      <w:sz w:val="21"/>
                      <w:szCs w:val="21"/>
                      <w:highlight w:val="none"/>
                      <w:lang w:eastAsia="zh-CN"/>
                    </w:rPr>
                    <w:t>无需生产供电。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color w:val="auto"/>
                      <w:sz w:val="21"/>
                      <w:szCs w:val="21"/>
                      <w:highlight w:val="none"/>
                      <w:lang w:eastAsia="zh-CN"/>
                    </w:rPr>
                  </w:pPr>
                </w:p>
              </w:tc>
              <w:tc>
                <w:tcPr>
                  <w:tcW w:w="1135"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采暖</w:t>
                  </w:r>
                </w:p>
              </w:tc>
              <w:tc>
                <w:tcPr>
                  <w:tcW w:w="6874" w:type="dxa"/>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w:t>
                  </w:r>
                  <w:r>
                    <w:rPr>
                      <w:rFonts w:ascii="Times New Roman" w:hAnsi="Times New Roman" w:cs="Times New Roman"/>
                      <w:color w:val="auto"/>
                      <w:sz w:val="21"/>
                      <w:szCs w:val="21"/>
                      <w:highlight w:val="none"/>
                      <w:lang w:eastAsia="zh-CN"/>
                    </w:rPr>
                    <w:t>冬季不生产，无需供暖。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restart"/>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环保工程</w:t>
                  </w:r>
                </w:p>
              </w:tc>
              <w:tc>
                <w:tcPr>
                  <w:tcW w:w="113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废气</w:t>
                  </w:r>
                </w:p>
              </w:tc>
              <w:tc>
                <w:tcPr>
                  <w:tcW w:w="6874" w:type="dxa"/>
                  <w:shd w:val="clear" w:color="auto" w:fill="auto"/>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①工艺扬尘：采挖扬尘通过洒水车洒水抑尘，装载扬尘通过降低装载高度差，雾炮机洒水抑尘；②交通扬尘：低速行驶，道路洒水抑尘，车斗苫布遮蔽。③尾气：加强机械设备、车辆的日常检修维护保养。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color w:val="auto"/>
                      <w:sz w:val="21"/>
                      <w:szCs w:val="21"/>
                      <w:highlight w:val="none"/>
                      <w:lang w:eastAsia="zh-CN"/>
                    </w:rPr>
                  </w:pPr>
                </w:p>
              </w:tc>
              <w:tc>
                <w:tcPr>
                  <w:tcW w:w="113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废水</w:t>
                  </w:r>
                </w:p>
              </w:tc>
              <w:tc>
                <w:tcPr>
                  <w:tcW w:w="6874" w:type="dxa"/>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生活</w:t>
                  </w:r>
                  <w:r>
                    <w:rPr>
                      <w:rFonts w:ascii="Times New Roman" w:hAnsi="Times New Roman" w:cs="Times New Roman"/>
                      <w:color w:val="auto"/>
                      <w:sz w:val="21"/>
                      <w:szCs w:val="21"/>
                      <w:highlight w:val="none"/>
                      <w:lang w:eastAsia="zh-CN"/>
                    </w:rPr>
                    <w:t>污水</w:t>
                  </w:r>
                  <w:r>
                    <w:rPr>
                      <w:rFonts w:hint="eastAsia" w:ascii="Times New Roman" w:hAnsi="Times New Roman" w:cs="Times New Roman"/>
                      <w:color w:val="auto"/>
                      <w:sz w:val="21"/>
                      <w:szCs w:val="21"/>
                      <w:highlight w:val="none"/>
                      <w:lang w:eastAsia="zh-CN"/>
                    </w:rPr>
                    <w:t>排入</w:t>
                  </w:r>
                  <w:r>
                    <w:rPr>
                      <w:rFonts w:ascii="Times New Roman" w:hAnsi="Times New Roman" w:cs="Times New Roman"/>
                      <w:color w:val="auto"/>
                      <w:sz w:val="21"/>
                      <w:szCs w:val="21"/>
                      <w:highlight w:val="none"/>
                      <w:lang w:eastAsia="zh-CN"/>
                    </w:rPr>
                    <w:t>防渗化粪池收集</w:t>
                  </w:r>
                  <w:r>
                    <w:rPr>
                      <w:rFonts w:hint="eastAsia" w:ascii="Times New Roman" w:hAnsi="Times New Roman" w:cs="Times New Roman"/>
                      <w:color w:val="auto"/>
                      <w:sz w:val="21"/>
                      <w:szCs w:val="21"/>
                      <w:highlight w:val="none"/>
                      <w:lang w:eastAsia="zh-CN"/>
                    </w:rPr>
                    <w:t>，定期清掏拉运。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color w:val="auto"/>
                      <w:sz w:val="21"/>
                      <w:szCs w:val="21"/>
                      <w:highlight w:val="none"/>
                      <w:lang w:eastAsia="zh-CN"/>
                    </w:rPr>
                  </w:pPr>
                </w:p>
              </w:tc>
              <w:tc>
                <w:tcPr>
                  <w:tcW w:w="113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噪声</w:t>
                  </w:r>
                </w:p>
              </w:tc>
              <w:tc>
                <w:tcPr>
                  <w:tcW w:w="6874" w:type="dxa"/>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bCs/>
                      <w:color w:val="auto"/>
                      <w:sz w:val="21"/>
                      <w:szCs w:val="21"/>
                      <w:highlight w:val="none"/>
                      <w:lang w:val="zh-CN" w:eastAsia="zh-CN"/>
                    </w:rPr>
                    <w:t>采用低噪声机械设备，距离衰减降噪，车辆行驶严格控制车速，严禁鸣笛，定期对机械设备进行检修维护保养。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color w:val="auto"/>
                      <w:sz w:val="21"/>
                      <w:szCs w:val="21"/>
                      <w:highlight w:val="none"/>
                      <w:lang w:eastAsia="zh-CN"/>
                    </w:rPr>
                  </w:pPr>
                </w:p>
              </w:tc>
              <w:tc>
                <w:tcPr>
                  <w:tcW w:w="113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固废</w:t>
                  </w:r>
                </w:p>
              </w:tc>
              <w:tc>
                <w:tcPr>
                  <w:tcW w:w="6874" w:type="dxa"/>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bCs/>
                      <w:color w:val="auto"/>
                      <w:sz w:val="21"/>
                      <w:szCs w:val="21"/>
                      <w:highlight w:val="none"/>
                      <w:lang w:val="zh-CN" w:eastAsia="zh-CN"/>
                    </w:rPr>
                    <w:t>统一收集后交由环卫部门处置。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color w:val="auto"/>
                      <w:sz w:val="21"/>
                      <w:szCs w:val="21"/>
                      <w:highlight w:val="none"/>
                      <w:lang w:eastAsia="zh-CN"/>
                    </w:rPr>
                  </w:pPr>
                </w:p>
              </w:tc>
              <w:tc>
                <w:tcPr>
                  <w:tcW w:w="113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水土保持</w:t>
                  </w:r>
                </w:p>
              </w:tc>
              <w:tc>
                <w:tcPr>
                  <w:tcW w:w="6874" w:type="dxa"/>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采矿作业尽量避开</w:t>
                  </w:r>
                  <w:r>
                    <w:rPr>
                      <w:rFonts w:ascii="Times New Roman" w:hAnsi="Times New Roman" w:cs="Times New Roman"/>
                      <w:color w:val="auto"/>
                      <w:sz w:val="21"/>
                      <w:szCs w:val="21"/>
                      <w:highlight w:val="none"/>
                      <w:lang w:eastAsia="zh-CN"/>
                    </w:rPr>
                    <w:t>4级大风和雨水天气</w:t>
                  </w:r>
                  <w:r>
                    <w:rPr>
                      <w:rFonts w:hint="eastAsia" w:ascii="Times New Roman" w:hAnsi="Times New Roman" w:cs="Times New Roman"/>
                      <w:color w:val="auto"/>
                      <w:sz w:val="21"/>
                      <w:szCs w:val="21"/>
                      <w:highlight w:val="none"/>
                      <w:lang w:eastAsia="zh-CN"/>
                    </w:rPr>
                    <w:t>，大风天气作业面覆盖防尘布、遮网；采挖的粘土矿应及时转运，尽可能减少疏松土壤的暴露时间；采矿、运输等环节配合洒水抑尘措施；开采区周边和开采区内边坡修整，设置截排水沟，防治水土流失。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color w:val="auto"/>
                      <w:sz w:val="21"/>
                      <w:szCs w:val="21"/>
                      <w:highlight w:val="none"/>
                      <w:lang w:eastAsia="zh-CN"/>
                    </w:rPr>
                  </w:pPr>
                </w:p>
              </w:tc>
              <w:tc>
                <w:tcPr>
                  <w:tcW w:w="113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生态</w:t>
                  </w:r>
                  <w:r>
                    <w:rPr>
                      <w:rFonts w:hint="eastAsia" w:ascii="Times New Roman" w:hAnsi="Times New Roman" w:cs="Times New Roman"/>
                      <w:color w:val="auto"/>
                      <w:sz w:val="21"/>
                      <w:szCs w:val="21"/>
                      <w:highlight w:val="none"/>
                      <w:lang w:eastAsia="zh-CN"/>
                    </w:rPr>
                    <w:t>恢复</w:t>
                  </w:r>
                </w:p>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（闭矿期）</w:t>
                  </w:r>
                </w:p>
              </w:tc>
              <w:tc>
                <w:tcPr>
                  <w:tcW w:w="6874" w:type="dxa"/>
                  <w:vAlign w:val="center"/>
                </w:tcPr>
                <w:p>
                  <w:pPr>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闭矿期应对采坑进行回填，采矿迹地进行场地平整，必要时购入种植土，为植被立地、生态复绿创造有利条件。播撒适应当地气候、易存活、防风固沙效果好的草籽，定期浇水养护。保证远期地表景观与周边环境相协调，生态环境无重大变化。</w:t>
                  </w:r>
                </w:p>
              </w:tc>
            </w:tr>
          </w:tbl>
          <w:p>
            <w:pPr>
              <w:autoSpaceDE/>
              <w:autoSpaceDN/>
              <w:spacing w:line="360" w:lineRule="auto"/>
              <w:jc w:val="both"/>
              <w:rPr>
                <w:rFonts w:ascii="Times New Roman" w:hAnsi="Times New Roman" w:cs="Times New Roman"/>
                <w:color w:val="auto"/>
                <w:spacing w:val="4"/>
                <w:kern w:val="2"/>
                <w:sz w:val="21"/>
                <w:szCs w:val="21"/>
                <w:highlight w:val="none"/>
                <w:lang w:eastAsia="zh-CN"/>
              </w:rPr>
            </w:pPr>
          </w:p>
          <w:p>
            <w:pPr>
              <w:autoSpaceDE/>
              <w:autoSpaceDN/>
              <w:spacing w:line="360" w:lineRule="auto"/>
              <w:jc w:val="both"/>
              <w:rPr>
                <w:rFonts w:ascii="Times New Roman" w:hAnsi="Times New Roman" w:cs="Times New Roman"/>
                <w:b/>
                <w:bCs/>
                <w:color w:val="auto"/>
                <w:spacing w:val="4"/>
                <w:kern w:val="2"/>
                <w:sz w:val="21"/>
                <w:szCs w:val="21"/>
                <w:highlight w:val="none"/>
                <w:lang w:eastAsia="zh-CN"/>
              </w:rPr>
            </w:pPr>
            <w:r>
              <w:rPr>
                <w:rFonts w:hint="eastAsia" w:ascii="Times New Roman" w:hAnsi="Times New Roman" w:cs="Times New Roman"/>
                <w:b/>
                <w:bCs/>
                <w:color w:val="auto"/>
                <w:spacing w:val="4"/>
                <w:kern w:val="2"/>
                <w:sz w:val="21"/>
                <w:szCs w:val="21"/>
                <w:highlight w:val="none"/>
                <w:lang w:val="en-US" w:eastAsia="zh-CN"/>
              </w:rPr>
              <w:t>2、</w:t>
            </w:r>
            <w:r>
              <w:rPr>
                <w:rFonts w:ascii="Times New Roman" w:hAnsi="Times New Roman" w:cs="Times New Roman"/>
                <w:b/>
                <w:bCs/>
                <w:color w:val="auto"/>
                <w:spacing w:val="4"/>
                <w:kern w:val="2"/>
                <w:sz w:val="21"/>
                <w:szCs w:val="21"/>
                <w:highlight w:val="none"/>
                <w:lang w:eastAsia="zh-CN"/>
              </w:rPr>
              <w:t>主要设备</w:t>
            </w:r>
          </w:p>
          <w:p>
            <w:pPr>
              <w:autoSpaceDE/>
              <w:autoSpaceDN/>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ascii="Times New Roman" w:hAnsi="Times New Roman" w:cs="Times New Roman"/>
                <w:color w:val="auto"/>
                <w:spacing w:val="4"/>
                <w:kern w:val="2"/>
                <w:sz w:val="21"/>
                <w:szCs w:val="21"/>
                <w:highlight w:val="none"/>
                <w:lang w:eastAsia="zh-CN"/>
              </w:rPr>
              <w:t>项目</w:t>
            </w:r>
            <w:r>
              <w:rPr>
                <w:rFonts w:hint="eastAsia" w:ascii="Times New Roman" w:hAnsi="Times New Roman" w:cs="Times New Roman"/>
                <w:color w:val="auto"/>
                <w:spacing w:val="4"/>
                <w:kern w:val="2"/>
                <w:sz w:val="21"/>
                <w:szCs w:val="21"/>
                <w:highlight w:val="none"/>
                <w:lang w:eastAsia="zh-CN"/>
              </w:rPr>
              <w:t>主要</w:t>
            </w:r>
            <w:r>
              <w:rPr>
                <w:rFonts w:ascii="Times New Roman" w:hAnsi="Times New Roman" w:cs="Times New Roman"/>
                <w:color w:val="auto"/>
                <w:spacing w:val="4"/>
                <w:kern w:val="2"/>
                <w:sz w:val="21"/>
                <w:szCs w:val="21"/>
                <w:highlight w:val="none"/>
                <w:lang w:eastAsia="zh-CN"/>
              </w:rPr>
              <w:t>生产设备见表</w:t>
            </w:r>
            <w:r>
              <w:rPr>
                <w:rFonts w:hint="eastAsia" w:ascii="Times New Roman" w:hAnsi="Times New Roman" w:cs="Times New Roman"/>
                <w:color w:val="auto"/>
                <w:spacing w:val="4"/>
                <w:kern w:val="2"/>
                <w:sz w:val="21"/>
                <w:szCs w:val="21"/>
                <w:highlight w:val="none"/>
                <w:lang w:val="en-US" w:eastAsia="zh-CN"/>
              </w:rPr>
              <w:t>2-</w:t>
            </w:r>
            <w:r>
              <w:rPr>
                <w:rFonts w:ascii="Times New Roman" w:hAnsi="Times New Roman" w:cs="Times New Roman"/>
                <w:color w:val="auto"/>
                <w:spacing w:val="4"/>
                <w:kern w:val="2"/>
                <w:sz w:val="21"/>
                <w:szCs w:val="21"/>
                <w:highlight w:val="none"/>
                <w:lang w:eastAsia="zh-CN"/>
              </w:rPr>
              <w:t>3。</w:t>
            </w:r>
          </w:p>
          <w:p>
            <w:pPr>
              <w:autoSpaceDE/>
              <w:autoSpaceDN/>
              <w:spacing w:line="360" w:lineRule="auto"/>
              <w:jc w:val="center"/>
              <w:rPr>
                <w:rFonts w:ascii="Times New Roman" w:hAnsi="Times New Roman" w:cs="Times New Roman"/>
                <w:color w:val="auto"/>
                <w:spacing w:val="4"/>
                <w:kern w:val="2"/>
                <w:sz w:val="21"/>
                <w:szCs w:val="21"/>
                <w:highlight w:val="none"/>
                <w:lang w:eastAsia="zh-CN"/>
              </w:rPr>
            </w:pPr>
            <w:r>
              <w:rPr>
                <w:rFonts w:ascii="Times New Roman" w:hAnsi="Times New Roman" w:cs="Times New Roman"/>
                <w:b/>
                <w:bCs/>
                <w:color w:val="auto"/>
                <w:spacing w:val="4"/>
                <w:kern w:val="2"/>
                <w:sz w:val="21"/>
                <w:szCs w:val="21"/>
                <w:highlight w:val="none"/>
                <w:lang w:eastAsia="zh-CN"/>
              </w:rPr>
              <w:t>表</w:t>
            </w:r>
            <w:r>
              <w:rPr>
                <w:rFonts w:hint="eastAsia" w:ascii="Times New Roman" w:hAnsi="Times New Roman" w:cs="Times New Roman"/>
                <w:b/>
                <w:bCs/>
                <w:color w:val="auto"/>
                <w:spacing w:val="4"/>
                <w:kern w:val="2"/>
                <w:sz w:val="21"/>
                <w:szCs w:val="21"/>
                <w:highlight w:val="none"/>
                <w:lang w:val="en-US" w:eastAsia="zh-CN"/>
              </w:rPr>
              <w:t>2-</w:t>
            </w:r>
            <w:r>
              <w:rPr>
                <w:rFonts w:ascii="Times New Roman" w:hAnsi="Times New Roman" w:cs="Times New Roman"/>
                <w:b/>
                <w:bCs/>
                <w:color w:val="auto"/>
                <w:spacing w:val="4"/>
                <w:kern w:val="2"/>
                <w:sz w:val="21"/>
                <w:szCs w:val="21"/>
                <w:highlight w:val="none"/>
                <w:lang w:eastAsia="zh-CN"/>
              </w:rPr>
              <w:t>3    项目</w:t>
            </w:r>
            <w:r>
              <w:rPr>
                <w:rFonts w:hint="eastAsia" w:ascii="Times New Roman" w:hAnsi="Times New Roman" w:cs="Times New Roman"/>
                <w:b/>
                <w:bCs/>
                <w:color w:val="auto"/>
                <w:spacing w:val="4"/>
                <w:kern w:val="2"/>
                <w:sz w:val="21"/>
                <w:szCs w:val="21"/>
                <w:highlight w:val="none"/>
                <w:lang w:eastAsia="zh-CN"/>
              </w:rPr>
              <w:t>生产设备</w:t>
            </w:r>
            <w:r>
              <w:rPr>
                <w:rFonts w:ascii="Times New Roman" w:hAnsi="Times New Roman" w:cs="Times New Roman"/>
                <w:b/>
                <w:bCs/>
                <w:color w:val="auto"/>
                <w:spacing w:val="4"/>
                <w:kern w:val="2"/>
                <w:sz w:val="21"/>
                <w:szCs w:val="21"/>
                <w:highlight w:val="none"/>
                <w:lang w:eastAsia="zh-CN"/>
              </w:rPr>
              <w:t>一览表</w:t>
            </w:r>
          </w:p>
          <w:tbl>
            <w:tblPr>
              <w:tblStyle w:val="14"/>
              <w:tblW w:w="8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320"/>
              <w:gridCol w:w="2495"/>
              <w:gridCol w:w="737"/>
              <w:gridCol w:w="92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8"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序号</w:t>
                  </w:r>
                </w:p>
              </w:tc>
              <w:tc>
                <w:tcPr>
                  <w:tcW w:w="2320"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设备名称</w:t>
                  </w:r>
                </w:p>
              </w:tc>
              <w:tc>
                <w:tcPr>
                  <w:tcW w:w="2495"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型号规格</w:t>
                  </w:r>
                </w:p>
              </w:tc>
              <w:tc>
                <w:tcPr>
                  <w:tcW w:w="737"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单位</w:t>
                  </w:r>
                </w:p>
              </w:tc>
              <w:tc>
                <w:tcPr>
                  <w:tcW w:w="921"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数量</w:t>
                  </w:r>
                </w:p>
              </w:tc>
              <w:tc>
                <w:tcPr>
                  <w:tcW w:w="1103"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48"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w:t>
                  </w:r>
                </w:p>
              </w:tc>
              <w:tc>
                <w:tcPr>
                  <w:tcW w:w="2320"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挖掘机</w:t>
                  </w:r>
                </w:p>
              </w:tc>
              <w:tc>
                <w:tcPr>
                  <w:tcW w:w="249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R916LC</w:t>
                  </w:r>
                </w:p>
              </w:tc>
              <w:tc>
                <w:tcPr>
                  <w:tcW w:w="737"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台</w:t>
                  </w:r>
                </w:p>
              </w:tc>
              <w:tc>
                <w:tcPr>
                  <w:tcW w:w="921"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w:t>
                  </w:r>
                </w:p>
              </w:tc>
              <w:tc>
                <w:tcPr>
                  <w:tcW w:w="1103" w:type="dxa"/>
                  <w:vAlign w:val="center"/>
                </w:tcPr>
                <w:p>
                  <w:pPr>
                    <w:jc w:val="center"/>
                    <w:rPr>
                      <w:rFonts w:ascii="Times New Roman" w:hAnsi="Times New Roman" w:cs="Times New Roman"/>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48"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2</w:t>
                  </w:r>
                </w:p>
              </w:tc>
              <w:tc>
                <w:tcPr>
                  <w:tcW w:w="2320"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铲车</w:t>
                  </w:r>
                </w:p>
              </w:tc>
              <w:tc>
                <w:tcPr>
                  <w:tcW w:w="2495"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LG9562</w:t>
                  </w:r>
                </w:p>
              </w:tc>
              <w:tc>
                <w:tcPr>
                  <w:tcW w:w="737"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台</w:t>
                  </w:r>
                </w:p>
              </w:tc>
              <w:tc>
                <w:tcPr>
                  <w:tcW w:w="921"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w:t>
                  </w:r>
                </w:p>
              </w:tc>
              <w:tc>
                <w:tcPr>
                  <w:tcW w:w="1103" w:type="dxa"/>
                  <w:vAlign w:val="center"/>
                </w:tcPr>
                <w:p>
                  <w:pPr>
                    <w:jc w:val="center"/>
                    <w:rPr>
                      <w:rFonts w:ascii="Times New Roman" w:hAnsi="Times New Roman" w:cs="Times New Roman"/>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8"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3</w:t>
                  </w:r>
                </w:p>
              </w:tc>
              <w:tc>
                <w:tcPr>
                  <w:tcW w:w="2320"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自卸载重汽车</w:t>
                  </w:r>
                </w:p>
              </w:tc>
              <w:tc>
                <w:tcPr>
                  <w:tcW w:w="2495" w:type="dxa"/>
                  <w:vAlign w:val="center"/>
                </w:tcPr>
                <w:p>
                  <w:pPr>
                    <w:jc w:val="center"/>
                    <w:rPr>
                      <w:rFonts w:ascii="Times New Roman" w:hAnsi="Times New Roman" w:cs="Times New Roman"/>
                      <w:color w:val="auto"/>
                      <w:sz w:val="21"/>
                      <w:szCs w:val="21"/>
                      <w:highlight w:val="none"/>
                      <w:lang w:eastAsia="zh-CN"/>
                    </w:rPr>
                  </w:pPr>
                </w:p>
              </w:tc>
              <w:tc>
                <w:tcPr>
                  <w:tcW w:w="73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辆</w:t>
                  </w:r>
                </w:p>
              </w:tc>
              <w:tc>
                <w:tcPr>
                  <w:tcW w:w="921"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w:t>
                  </w:r>
                </w:p>
              </w:tc>
              <w:tc>
                <w:tcPr>
                  <w:tcW w:w="1103" w:type="dxa"/>
                  <w:vAlign w:val="center"/>
                </w:tcPr>
                <w:p>
                  <w:pPr>
                    <w:jc w:val="center"/>
                    <w:rPr>
                      <w:rFonts w:ascii="Times New Roman" w:hAnsi="Times New Roman" w:cs="Times New Roman"/>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8"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4</w:t>
                  </w:r>
                </w:p>
              </w:tc>
              <w:tc>
                <w:tcPr>
                  <w:tcW w:w="2320"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洒水车</w:t>
                  </w:r>
                </w:p>
              </w:tc>
              <w:tc>
                <w:tcPr>
                  <w:tcW w:w="2495" w:type="dxa"/>
                  <w:vAlign w:val="center"/>
                </w:tcPr>
                <w:p>
                  <w:pPr>
                    <w:jc w:val="center"/>
                    <w:rPr>
                      <w:rFonts w:ascii="Times New Roman" w:hAnsi="Times New Roman" w:cs="Times New Roman"/>
                      <w:color w:val="auto"/>
                      <w:sz w:val="21"/>
                      <w:szCs w:val="21"/>
                      <w:highlight w:val="none"/>
                      <w:lang w:eastAsia="zh-CN"/>
                    </w:rPr>
                  </w:pPr>
                </w:p>
              </w:tc>
              <w:tc>
                <w:tcPr>
                  <w:tcW w:w="73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辆</w:t>
                  </w:r>
                </w:p>
              </w:tc>
              <w:tc>
                <w:tcPr>
                  <w:tcW w:w="921"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w:t>
                  </w:r>
                </w:p>
              </w:tc>
              <w:tc>
                <w:tcPr>
                  <w:tcW w:w="1103" w:type="dxa"/>
                  <w:vAlign w:val="center"/>
                </w:tcPr>
                <w:p>
                  <w:pPr>
                    <w:jc w:val="center"/>
                    <w:rPr>
                      <w:rFonts w:ascii="Times New Roman" w:hAnsi="Times New Roman" w:cs="Times New Roman"/>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8"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5</w:t>
                  </w:r>
                </w:p>
              </w:tc>
              <w:tc>
                <w:tcPr>
                  <w:tcW w:w="2320"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雾炮机</w:t>
                  </w:r>
                </w:p>
              </w:tc>
              <w:tc>
                <w:tcPr>
                  <w:tcW w:w="2495" w:type="dxa"/>
                  <w:vAlign w:val="center"/>
                </w:tcPr>
                <w:p>
                  <w:pPr>
                    <w:jc w:val="center"/>
                    <w:rPr>
                      <w:rFonts w:ascii="Times New Roman" w:hAnsi="Times New Roman" w:cs="Times New Roman"/>
                      <w:color w:val="auto"/>
                      <w:sz w:val="21"/>
                      <w:szCs w:val="21"/>
                      <w:highlight w:val="none"/>
                      <w:lang w:eastAsia="zh-CN"/>
                    </w:rPr>
                  </w:pPr>
                </w:p>
              </w:tc>
              <w:tc>
                <w:tcPr>
                  <w:tcW w:w="73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台</w:t>
                  </w:r>
                </w:p>
              </w:tc>
              <w:tc>
                <w:tcPr>
                  <w:tcW w:w="921"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2</w:t>
                  </w:r>
                </w:p>
              </w:tc>
              <w:tc>
                <w:tcPr>
                  <w:tcW w:w="1103" w:type="dxa"/>
                  <w:vAlign w:val="center"/>
                </w:tcPr>
                <w:p>
                  <w:pPr>
                    <w:jc w:val="center"/>
                    <w:rPr>
                      <w:rFonts w:ascii="Times New Roman" w:hAnsi="Times New Roman" w:cs="Times New Roman"/>
                      <w:color w:val="auto"/>
                      <w:sz w:val="21"/>
                      <w:szCs w:val="21"/>
                      <w:highlight w:val="no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color w:val="auto"/>
                <w:spacing w:val="4"/>
                <w:kern w:val="2"/>
                <w:sz w:val="21"/>
                <w:szCs w:val="21"/>
                <w:highlight w:val="none"/>
                <w:lang w:eastAsia="zh-CN"/>
              </w:rPr>
            </w:pPr>
            <w:r>
              <w:rPr>
                <w:rFonts w:hint="eastAsia" w:ascii="Times New Roman" w:hAnsi="Times New Roman" w:cs="Times New Roman"/>
                <w:b/>
                <w:bCs/>
                <w:color w:val="auto"/>
                <w:spacing w:val="4"/>
                <w:kern w:val="2"/>
                <w:sz w:val="21"/>
                <w:szCs w:val="21"/>
                <w:highlight w:val="none"/>
                <w:lang w:val="en-US" w:eastAsia="zh-CN"/>
              </w:rPr>
              <w:t>3、</w:t>
            </w:r>
            <w:r>
              <w:rPr>
                <w:rFonts w:ascii="Times New Roman" w:hAnsi="Times New Roman" w:cs="Times New Roman"/>
                <w:b/>
                <w:bCs/>
                <w:color w:val="auto"/>
                <w:spacing w:val="4"/>
                <w:kern w:val="2"/>
                <w:sz w:val="21"/>
                <w:szCs w:val="21"/>
                <w:highlight w:val="none"/>
                <w:lang w:eastAsia="zh-CN"/>
              </w:rPr>
              <w:t>原辅材料</w:t>
            </w:r>
            <w:r>
              <w:rPr>
                <w:rFonts w:hint="eastAsia" w:ascii="Times New Roman" w:hAnsi="Times New Roman" w:cs="Times New Roman"/>
                <w:b/>
                <w:bCs/>
                <w:color w:val="auto"/>
                <w:spacing w:val="4"/>
                <w:kern w:val="2"/>
                <w:sz w:val="21"/>
                <w:szCs w:val="21"/>
                <w:highlight w:val="none"/>
                <w:lang w:eastAsia="zh-CN"/>
              </w:rPr>
              <w:t>及</w:t>
            </w:r>
            <w:r>
              <w:rPr>
                <w:rFonts w:ascii="Times New Roman" w:hAnsi="Times New Roman" w:cs="Times New Roman"/>
                <w:b/>
                <w:bCs/>
                <w:color w:val="auto"/>
                <w:spacing w:val="4"/>
                <w:kern w:val="2"/>
                <w:sz w:val="21"/>
                <w:szCs w:val="21"/>
                <w:highlight w:val="none"/>
                <w:lang w:eastAsia="zh-CN"/>
              </w:rPr>
              <w:t>能源消耗</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项目原辅材料</w:t>
            </w:r>
            <w:r>
              <w:rPr>
                <w:rFonts w:ascii="Times New Roman" w:hAnsi="Times New Roman" w:cs="Times New Roman"/>
                <w:color w:val="auto"/>
                <w:spacing w:val="4"/>
                <w:kern w:val="2"/>
                <w:sz w:val="21"/>
                <w:szCs w:val="21"/>
                <w:highlight w:val="none"/>
                <w:lang w:eastAsia="zh-CN"/>
              </w:rPr>
              <w:t>及能源消耗情况见表</w:t>
            </w:r>
            <w:r>
              <w:rPr>
                <w:rFonts w:hint="eastAsia" w:ascii="Times New Roman" w:hAnsi="Times New Roman" w:cs="Times New Roman"/>
                <w:color w:val="auto"/>
                <w:spacing w:val="4"/>
                <w:kern w:val="2"/>
                <w:sz w:val="21"/>
                <w:szCs w:val="21"/>
                <w:highlight w:val="none"/>
                <w:lang w:val="en-US" w:eastAsia="zh-CN"/>
              </w:rPr>
              <w:t>2-</w:t>
            </w:r>
            <w:r>
              <w:rPr>
                <w:rFonts w:hint="eastAsia" w:ascii="Times New Roman" w:hAnsi="Times New Roman" w:cs="Times New Roman"/>
                <w:color w:val="auto"/>
                <w:spacing w:val="4"/>
                <w:kern w:val="2"/>
                <w:sz w:val="21"/>
                <w:szCs w:val="21"/>
                <w:highlight w:val="none"/>
                <w:lang w:eastAsia="zh-CN"/>
              </w:rPr>
              <w:t>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cs="Times New Roman" w:eastAsiaTheme="minorEastAsia"/>
                <w:b/>
                <w:bCs/>
                <w:color w:val="auto"/>
                <w:spacing w:val="4"/>
                <w:kern w:val="2"/>
                <w:sz w:val="21"/>
                <w:szCs w:val="21"/>
                <w:highlight w:val="none"/>
                <w:lang w:eastAsia="zh-CN"/>
              </w:rPr>
            </w:pPr>
            <w:r>
              <w:rPr>
                <w:rFonts w:ascii="Times New Roman" w:hAnsi="Times New Roman" w:cs="Times New Roman" w:eastAsiaTheme="minorEastAsia"/>
                <w:b/>
                <w:bCs/>
                <w:color w:val="auto"/>
                <w:spacing w:val="4"/>
                <w:kern w:val="2"/>
                <w:sz w:val="21"/>
                <w:szCs w:val="21"/>
                <w:highlight w:val="none"/>
                <w:lang w:eastAsia="zh-CN"/>
              </w:rPr>
              <w:t>表</w:t>
            </w:r>
            <w:r>
              <w:rPr>
                <w:rFonts w:hint="eastAsia" w:ascii="Times New Roman" w:hAnsi="Times New Roman" w:cs="Times New Roman" w:eastAsiaTheme="minorEastAsia"/>
                <w:b/>
                <w:bCs/>
                <w:color w:val="auto"/>
                <w:spacing w:val="4"/>
                <w:kern w:val="2"/>
                <w:sz w:val="21"/>
                <w:szCs w:val="21"/>
                <w:highlight w:val="none"/>
                <w:lang w:val="en-US" w:eastAsia="zh-CN"/>
              </w:rPr>
              <w:t>2-</w:t>
            </w:r>
            <w:r>
              <w:rPr>
                <w:rFonts w:ascii="Times New Roman" w:hAnsi="Times New Roman" w:cs="Times New Roman" w:eastAsiaTheme="minorEastAsia"/>
                <w:b/>
                <w:bCs/>
                <w:color w:val="auto"/>
                <w:spacing w:val="4"/>
                <w:kern w:val="2"/>
                <w:sz w:val="21"/>
                <w:szCs w:val="21"/>
                <w:highlight w:val="none"/>
                <w:lang w:eastAsia="zh-CN"/>
              </w:rPr>
              <w:t>4    项目原辅材料</w:t>
            </w:r>
            <w:r>
              <w:rPr>
                <w:rFonts w:hint="eastAsia" w:ascii="Times New Roman" w:hAnsi="Times New Roman" w:cs="Times New Roman" w:eastAsiaTheme="minorEastAsia"/>
                <w:b/>
                <w:bCs/>
                <w:color w:val="auto"/>
                <w:spacing w:val="4"/>
                <w:kern w:val="2"/>
                <w:sz w:val="21"/>
                <w:szCs w:val="21"/>
                <w:highlight w:val="none"/>
                <w:lang w:eastAsia="zh-CN"/>
              </w:rPr>
              <w:t>及</w:t>
            </w:r>
            <w:r>
              <w:rPr>
                <w:rFonts w:ascii="Times New Roman" w:hAnsi="Times New Roman" w:cs="Times New Roman" w:eastAsiaTheme="minorEastAsia"/>
                <w:b/>
                <w:bCs/>
                <w:color w:val="auto"/>
                <w:spacing w:val="4"/>
                <w:kern w:val="2"/>
                <w:sz w:val="21"/>
                <w:szCs w:val="21"/>
                <w:highlight w:val="none"/>
                <w:lang w:eastAsia="zh-CN"/>
              </w:rPr>
              <w:t>能源消耗一览表</w:t>
            </w:r>
          </w:p>
          <w:tbl>
            <w:tblPr>
              <w:tblStyle w:val="14"/>
              <w:tblW w:w="8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457"/>
              <w:gridCol w:w="730"/>
              <w:gridCol w:w="1007"/>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
                      <w:color w:val="auto"/>
                      <w:sz w:val="21"/>
                      <w:szCs w:val="21"/>
                      <w:highlight w:val="none"/>
                      <w:lang w:eastAsia="zh-CN"/>
                    </w:rPr>
                  </w:pPr>
                  <w:r>
                    <w:rPr>
                      <w:rFonts w:hint="eastAsia" w:ascii="Times New Roman" w:hAnsi="Times New Roman" w:cs="Times New Roman" w:eastAsiaTheme="minorEastAsia"/>
                      <w:b/>
                      <w:color w:val="auto"/>
                      <w:sz w:val="21"/>
                      <w:szCs w:val="21"/>
                      <w:highlight w:val="none"/>
                      <w:lang w:eastAsia="zh-CN"/>
                    </w:rPr>
                    <w:t>序号</w:t>
                  </w:r>
                </w:p>
              </w:tc>
              <w:tc>
                <w:tcPr>
                  <w:tcW w:w="14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
                      <w:color w:val="auto"/>
                      <w:sz w:val="21"/>
                      <w:szCs w:val="21"/>
                      <w:highlight w:val="none"/>
                      <w:lang w:eastAsia="zh-CN"/>
                    </w:rPr>
                  </w:pPr>
                  <w:r>
                    <w:rPr>
                      <w:rFonts w:ascii="Times New Roman" w:hAnsi="Times New Roman" w:cs="Times New Roman" w:eastAsiaTheme="minorEastAsia"/>
                      <w:b/>
                      <w:color w:val="auto"/>
                      <w:sz w:val="21"/>
                      <w:szCs w:val="21"/>
                      <w:highlight w:val="none"/>
                      <w:lang w:eastAsia="zh-CN"/>
                    </w:rPr>
                    <w:t>原辅料名称</w:t>
                  </w:r>
                </w:p>
              </w:tc>
              <w:tc>
                <w:tcPr>
                  <w:tcW w:w="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
                      <w:color w:val="auto"/>
                      <w:sz w:val="21"/>
                      <w:szCs w:val="21"/>
                      <w:highlight w:val="none"/>
                      <w:lang w:eastAsia="zh-CN"/>
                    </w:rPr>
                  </w:pPr>
                  <w:r>
                    <w:rPr>
                      <w:rFonts w:hint="eastAsia" w:ascii="Times New Roman" w:hAnsi="Times New Roman" w:cs="Times New Roman" w:eastAsiaTheme="minorEastAsia"/>
                      <w:b/>
                      <w:color w:val="auto"/>
                      <w:sz w:val="21"/>
                      <w:szCs w:val="21"/>
                      <w:highlight w:val="none"/>
                      <w:lang w:eastAsia="zh-CN"/>
                    </w:rPr>
                    <w:t>单位</w:t>
                  </w:r>
                </w:p>
              </w:tc>
              <w:tc>
                <w:tcPr>
                  <w:tcW w:w="10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
                      <w:color w:val="auto"/>
                      <w:sz w:val="21"/>
                      <w:szCs w:val="21"/>
                      <w:highlight w:val="none"/>
                      <w:lang w:eastAsia="zh-CN"/>
                    </w:rPr>
                  </w:pPr>
                  <w:r>
                    <w:rPr>
                      <w:rFonts w:hint="eastAsia" w:ascii="Times New Roman" w:hAnsi="Times New Roman" w:cs="Times New Roman" w:eastAsiaTheme="minorEastAsia"/>
                      <w:b/>
                      <w:color w:val="auto"/>
                      <w:sz w:val="21"/>
                      <w:szCs w:val="21"/>
                      <w:highlight w:val="none"/>
                      <w:lang w:eastAsia="zh-CN"/>
                    </w:rPr>
                    <w:t>年用量</w:t>
                  </w:r>
                </w:p>
              </w:tc>
              <w:tc>
                <w:tcPr>
                  <w:tcW w:w="4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
                      <w:color w:val="auto"/>
                      <w:sz w:val="21"/>
                      <w:szCs w:val="21"/>
                      <w:highlight w:val="none"/>
                      <w:lang w:eastAsia="zh-CN"/>
                    </w:rPr>
                  </w:pPr>
                  <w:r>
                    <w:rPr>
                      <w:rFonts w:hint="eastAsia" w:ascii="Times New Roman" w:hAnsi="Times New Roman" w:cs="Times New Roman" w:eastAsiaTheme="minorEastAsia"/>
                      <w:b/>
                      <w:color w:val="auto"/>
                      <w:sz w:val="21"/>
                      <w:szCs w:val="21"/>
                      <w:highlight w:val="none"/>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49" w:type="dxa"/>
                  <w:vAlign w:val="center"/>
                </w:tcPr>
                <w:p>
                  <w:pPr>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1</w:t>
                  </w:r>
                </w:p>
              </w:tc>
              <w:tc>
                <w:tcPr>
                  <w:tcW w:w="1457" w:type="dxa"/>
                  <w:vAlign w:val="center"/>
                </w:tcPr>
                <w:p>
                  <w:pPr>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粘土矿</w:t>
                  </w:r>
                </w:p>
              </w:tc>
              <w:tc>
                <w:tcPr>
                  <w:tcW w:w="730" w:type="dxa"/>
                  <w:vAlign w:val="center"/>
                </w:tcPr>
                <w:p>
                  <w:pPr>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m</w:t>
                  </w:r>
                  <w:r>
                    <w:rPr>
                      <w:rFonts w:ascii="Times New Roman" w:hAnsi="Times New Roman" w:cs="Times New Roman" w:eastAsiaTheme="minorEastAsia"/>
                      <w:bCs/>
                      <w:color w:val="auto"/>
                      <w:sz w:val="21"/>
                      <w:szCs w:val="21"/>
                      <w:highlight w:val="none"/>
                      <w:lang w:eastAsia="zh-CN"/>
                    </w:rPr>
                    <w:t>³</w:t>
                  </w:r>
                </w:p>
              </w:tc>
              <w:tc>
                <w:tcPr>
                  <w:tcW w:w="1007" w:type="dxa"/>
                  <w:vAlign w:val="center"/>
                </w:tcPr>
                <w:p>
                  <w:pPr>
                    <w:jc w:val="center"/>
                    <w:rPr>
                      <w:rFonts w:ascii="Times New Roman" w:hAnsi="Times New Roman" w:cs="Times New Roman" w:eastAsiaTheme="minorEastAsia"/>
                      <w:bCs/>
                      <w:color w:val="auto"/>
                      <w:sz w:val="21"/>
                      <w:szCs w:val="21"/>
                      <w:highlight w:val="none"/>
                      <w:lang w:eastAsia="zh-CN"/>
                    </w:rPr>
                  </w:pPr>
                  <w:r>
                    <w:rPr>
                      <w:rFonts w:ascii="Times New Roman" w:hAnsi="Times New Roman" w:cs="Times New Roman" w:eastAsiaTheme="minorEastAsia"/>
                      <w:bCs/>
                      <w:color w:val="auto"/>
                      <w:sz w:val="21"/>
                      <w:szCs w:val="21"/>
                      <w:highlight w:val="none"/>
                      <w:lang w:eastAsia="zh-CN"/>
                    </w:rPr>
                    <w:t>6</w:t>
                  </w:r>
                  <w:r>
                    <w:rPr>
                      <w:rFonts w:hint="eastAsia" w:ascii="Times New Roman" w:hAnsi="Times New Roman" w:cs="Times New Roman" w:eastAsiaTheme="minorEastAsia"/>
                      <w:bCs/>
                      <w:color w:val="auto"/>
                      <w:sz w:val="21"/>
                      <w:szCs w:val="21"/>
                      <w:highlight w:val="none"/>
                      <w:lang w:eastAsia="zh-CN"/>
                    </w:rPr>
                    <w:t>万</w:t>
                  </w:r>
                </w:p>
              </w:tc>
              <w:tc>
                <w:tcPr>
                  <w:tcW w:w="4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采矿许可证行政许可的</w:t>
                  </w:r>
                  <w:r>
                    <w:rPr>
                      <w:rFonts w:ascii="Times New Roman" w:hAnsi="Times New Roman" w:cs="Times New Roman" w:eastAsiaTheme="minorEastAsia"/>
                      <w:bCs/>
                      <w:color w:val="auto"/>
                      <w:sz w:val="21"/>
                      <w:szCs w:val="21"/>
                      <w:highlight w:val="none"/>
                      <w:lang w:eastAsia="zh-CN"/>
                    </w:rPr>
                    <w:t>范围内</w:t>
                  </w:r>
                  <w:r>
                    <w:rPr>
                      <w:rFonts w:hint="eastAsia" w:ascii="Times New Roman" w:hAnsi="Times New Roman" w:cs="Times New Roman" w:eastAsiaTheme="minorEastAsia"/>
                      <w:bCs/>
                      <w:color w:val="auto"/>
                      <w:sz w:val="21"/>
                      <w:szCs w:val="21"/>
                      <w:highlight w:val="none"/>
                      <w:lang w:eastAsia="zh-CN"/>
                    </w:rPr>
                    <w:t>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49" w:type="dxa"/>
                  <w:vAlign w:val="center"/>
                </w:tcPr>
                <w:p>
                  <w:pPr>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2</w:t>
                  </w:r>
                </w:p>
              </w:tc>
              <w:tc>
                <w:tcPr>
                  <w:tcW w:w="1457" w:type="dxa"/>
                  <w:vAlign w:val="center"/>
                </w:tcPr>
                <w:p>
                  <w:pPr>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水</w:t>
                  </w:r>
                </w:p>
              </w:tc>
              <w:tc>
                <w:tcPr>
                  <w:tcW w:w="730" w:type="dxa"/>
                  <w:vAlign w:val="center"/>
                </w:tcPr>
                <w:p>
                  <w:pPr>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m</w:t>
                  </w:r>
                  <w:r>
                    <w:rPr>
                      <w:rFonts w:ascii="Times New Roman" w:hAnsi="Times New Roman" w:cs="Times New Roman" w:eastAsiaTheme="minorEastAsia"/>
                      <w:bCs/>
                      <w:color w:val="auto"/>
                      <w:sz w:val="21"/>
                      <w:szCs w:val="21"/>
                      <w:highlight w:val="none"/>
                      <w:lang w:eastAsia="zh-CN"/>
                    </w:rPr>
                    <w:t>³</w:t>
                  </w:r>
                </w:p>
              </w:tc>
              <w:tc>
                <w:tcPr>
                  <w:tcW w:w="1007" w:type="dxa"/>
                  <w:vAlign w:val="center"/>
                </w:tcPr>
                <w:p>
                  <w:pPr>
                    <w:jc w:val="center"/>
                    <w:rPr>
                      <w:rFonts w:hint="default" w:ascii="Times New Roman" w:hAnsi="Times New Roman" w:cs="Times New Roman" w:eastAsiaTheme="minorEastAsia"/>
                      <w:bCs/>
                      <w:color w:val="auto"/>
                      <w:sz w:val="21"/>
                      <w:szCs w:val="21"/>
                      <w:highlight w:val="none"/>
                      <w:lang w:val="en-US" w:eastAsia="zh-CN"/>
                    </w:rPr>
                  </w:pPr>
                  <w:r>
                    <w:rPr>
                      <w:rFonts w:hint="eastAsia" w:ascii="Times New Roman" w:hAnsi="Times New Roman" w:cs="Times New Roman" w:eastAsiaTheme="minorEastAsia"/>
                      <w:bCs/>
                      <w:color w:val="auto"/>
                      <w:sz w:val="21"/>
                      <w:szCs w:val="21"/>
                      <w:highlight w:val="none"/>
                      <w:lang w:val="en-US" w:eastAsia="zh-CN"/>
                    </w:rPr>
                    <w:t>1400</w:t>
                  </w:r>
                </w:p>
              </w:tc>
              <w:tc>
                <w:tcPr>
                  <w:tcW w:w="4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抑尘用水洒水车拉运，生活用水依托砖厂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49" w:type="dxa"/>
                  <w:vAlign w:val="center"/>
                </w:tcPr>
                <w:p>
                  <w:pPr>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3</w:t>
                  </w:r>
                </w:p>
              </w:tc>
              <w:tc>
                <w:tcPr>
                  <w:tcW w:w="1457" w:type="dxa"/>
                  <w:vAlign w:val="center"/>
                </w:tcPr>
                <w:p>
                  <w:pPr>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柴油</w:t>
                  </w:r>
                </w:p>
              </w:tc>
              <w:tc>
                <w:tcPr>
                  <w:tcW w:w="730" w:type="dxa"/>
                  <w:vAlign w:val="center"/>
                </w:tcPr>
                <w:p>
                  <w:pPr>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t</w:t>
                  </w:r>
                </w:p>
              </w:tc>
              <w:tc>
                <w:tcPr>
                  <w:tcW w:w="1007" w:type="dxa"/>
                  <w:vAlign w:val="center"/>
                </w:tcPr>
                <w:p>
                  <w:pPr>
                    <w:jc w:val="center"/>
                    <w:rPr>
                      <w:rFonts w:ascii="Times New Roman" w:hAnsi="Times New Roman" w:cs="Times New Roman" w:eastAsiaTheme="minorEastAsia"/>
                      <w:bCs/>
                      <w:color w:val="auto"/>
                      <w:sz w:val="21"/>
                      <w:szCs w:val="21"/>
                      <w:highlight w:val="none"/>
                      <w:lang w:eastAsia="zh-CN"/>
                    </w:rPr>
                  </w:pPr>
                  <w:r>
                    <w:rPr>
                      <w:rFonts w:ascii="Times New Roman" w:hAnsi="Times New Roman" w:cs="Times New Roman" w:eastAsiaTheme="minorEastAsia"/>
                      <w:bCs/>
                      <w:color w:val="auto"/>
                      <w:sz w:val="21"/>
                      <w:szCs w:val="21"/>
                      <w:highlight w:val="none"/>
                      <w:lang w:eastAsia="zh-CN"/>
                    </w:rPr>
                    <w:t>51</w:t>
                  </w:r>
                </w:p>
              </w:tc>
              <w:tc>
                <w:tcPr>
                  <w:tcW w:w="4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Cs/>
                      <w:color w:val="auto"/>
                      <w:sz w:val="21"/>
                      <w:szCs w:val="21"/>
                      <w:highlight w:val="none"/>
                      <w:lang w:eastAsia="zh-CN"/>
                    </w:rPr>
                  </w:pPr>
                  <w:r>
                    <w:rPr>
                      <w:rFonts w:hint="eastAsia" w:ascii="Times New Roman" w:hAnsi="Times New Roman" w:cs="Times New Roman" w:eastAsiaTheme="minorEastAsia"/>
                      <w:bCs/>
                      <w:color w:val="auto"/>
                      <w:sz w:val="21"/>
                      <w:szCs w:val="21"/>
                      <w:highlight w:val="none"/>
                      <w:lang w:eastAsia="zh-CN"/>
                    </w:rPr>
                    <w:t>塔勒德镇加油站</w:t>
                  </w:r>
                </w:p>
              </w:tc>
            </w:tr>
          </w:tbl>
          <w:p>
            <w:pPr>
              <w:autoSpaceDE/>
              <w:autoSpaceDN/>
              <w:spacing w:line="360" w:lineRule="auto"/>
              <w:jc w:val="both"/>
              <w:rPr>
                <w:rFonts w:hint="eastAsia" w:ascii="Times New Roman" w:hAnsi="Times New Roman" w:eastAsia="宋体" w:cs="Times New Roman"/>
                <w:color w:val="auto"/>
                <w:spacing w:val="4"/>
                <w:kern w:val="2"/>
                <w:sz w:val="21"/>
                <w:szCs w:val="21"/>
                <w:highlight w:val="none"/>
                <w:lang w:eastAsia="zh-CN"/>
              </w:rPr>
            </w:pPr>
            <w:r>
              <w:rPr>
                <w:rFonts w:hint="eastAsia" w:ascii="Times New Roman" w:hAnsi="Times New Roman" w:eastAsia="宋体" w:cs="Times New Roman"/>
                <w:color w:val="auto"/>
                <w:spacing w:val="4"/>
                <w:kern w:val="2"/>
                <w:sz w:val="21"/>
                <w:szCs w:val="21"/>
                <w:highlight w:val="none"/>
                <w:lang w:eastAsia="zh-CN"/>
              </w:rPr>
              <w:object>
                <v:shape id="_x0000_i1025" o:spt="75" type="#_x0000_t75" style="height:118.5pt;width:431.25pt;" o:ole="t" filled="f" o:preferrelative="t" stroked="f" coordsize="21600,21600">
                  <v:path/>
                  <v:fill on="f" focussize="0,0"/>
                  <v:stroke on="f"/>
                  <v:imagedata r:id="rId10" o:title=""/>
                  <o:lock v:ext="edit" aspectratio="f"/>
                  <w10:wrap type="none"/>
                  <w10:anchorlock/>
                </v:shape>
                <o:OLEObject Type="Embed" ProgID="Visio.Drawing.11" ShapeID="_x0000_i1025" DrawAspect="Content" ObjectID="_1468075725" r:id="rId9">
                  <o:LockedField>false</o:LockedField>
                </o:OLEObject>
              </w:object>
            </w:r>
          </w:p>
          <w:p>
            <w:pPr>
              <w:autoSpaceDE/>
              <w:autoSpaceDN/>
              <w:spacing w:line="360" w:lineRule="auto"/>
              <w:ind w:firstLine="438" w:firstLineChars="200"/>
              <w:jc w:val="center"/>
              <w:rPr>
                <w:rFonts w:hint="default" w:ascii="Times New Roman" w:hAnsi="Times New Roman" w:eastAsia="宋体" w:cs="Times New Roman"/>
                <w:color w:val="auto"/>
                <w:spacing w:val="4"/>
                <w:kern w:val="2"/>
                <w:sz w:val="21"/>
                <w:szCs w:val="21"/>
                <w:highlight w:val="none"/>
                <w:lang w:val="en-US" w:eastAsia="zh-CN"/>
              </w:rPr>
            </w:pPr>
            <w:r>
              <w:rPr>
                <w:rFonts w:hint="eastAsia" w:ascii="Times New Roman" w:hAnsi="Times New Roman" w:cs="Times New Roman"/>
                <w:b/>
                <w:bCs/>
                <w:color w:val="auto"/>
                <w:spacing w:val="4"/>
                <w:kern w:val="2"/>
                <w:sz w:val="21"/>
                <w:szCs w:val="21"/>
                <w:highlight w:val="none"/>
                <w:lang w:eastAsia="zh-CN"/>
              </w:rPr>
              <w:t>图</w:t>
            </w:r>
            <w:r>
              <w:rPr>
                <w:rFonts w:hint="eastAsia" w:ascii="Times New Roman" w:hAnsi="Times New Roman" w:cs="Times New Roman"/>
                <w:b/>
                <w:bCs/>
                <w:color w:val="auto"/>
                <w:spacing w:val="4"/>
                <w:kern w:val="2"/>
                <w:sz w:val="21"/>
                <w:szCs w:val="21"/>
                <w:highlight w:val="none"/>
                <w:lang w:val="en-US" w:eastAsia="zh-CN"/>
              </w:rPr>
              <w:t>2-1 项目水平衡图</w:t>
            </w:r>
          </w:p>
          <w:p>
            <w:pPr>
              <w:autoSpaceDE/>
              <w:autoSpaceDN/>
              <w:spacing w:line="360" w:lineRule="auto"/>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cs="Times New Roman"/>
                <w:b/>
                <w:bCs/>
                <w:color w:val="auto"/>
                <w:spacing w:val="4"/>
                <w:kern w:val="2"/>
                <w:sz w:val="21"/>
                <w:szCs w:val="21"/>
                <w:highlight w:val="none"/>
                <w:lang w:val="en-US" w:eastAsia="zh-CN"/>
              </w:rPr>
              <w:t>4、</w:t>
            </w:r>
            <w:r>
              <w:rPr>
                <w:rFonts w:hint="eastAsia" w:ascii="Times New Roman" w:hAnsi="Times New Roman" w:eastAsia="宋体" w:cs="Times New Roman"/>
                <w:b/>
                <w:bCs/>
                <w:color w:val="auto"/>
                <w:spacing w:val="4"/>
                <w:kern w:val="2"/>
                <w:sz w:val="21"/>
                <w:szCs w:val="21"/>
                <w:highlight w:val="none"/>
                <w:lang w:val="en-US" w:eastAsia="zh-CN"/>
              </w:rPr>
              <w:t>采矿方法及生产工艺简介</w:t>
            </w:r>
            <w:r>
              <w:rPr>
                <w:rFonts w:hint="eastAsia" w:ascii="Times New Roman" w:hAnsi="Times New Roman" w:eastAsia="宋体" w:cs="Times New Roman"/>
                <w:color w:val="auto"/>
                <w:spacing w:val="4"/>
                <w:kern w:val="2"/>
                <w:sz w:val="21"/>
                <w:szCs w:val="21"/>
                <w:highlight w:val="none"/>
                <w:lang w:val="en-US" w:eastAsia="zh-CN"/>
              </w:rPr>
              <w:t xml:space="preserve"> </w:t>
            </w:r>
          </w:p>
          <w:p>
            <w:pPr>
              <w:autoSpaceDE/>
              <w:autoSpaceDN/>
              <w:spacing w:line="360" w:lineRule="auto"/>
              <w:ind w:firstLine="436" w:firstLineChars="200"/>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val="en-US" w:eastAsia="zh-CN"/>
              </w:rPr>
              <w:t>（1）</w:t>
            </w:r>
            <w:r>
              <w:rPr>
                <w:rFonts w:hint="eastAsia" w:ascii="Times New Roman" w:hAnsi="Times New Roman" w:eastAsia="宋体" w:cs="Times New Roman"/>
                <w:color w:val="auto"/>
                <w:spacing w:val="4"/>
                <w:kern w:val="2"/>
                <w:sz w:val="21"/>
                <w:szCs w:val="21"/>
                <w:highlight w:val="none"/>
                <w:lang w:val="en-US" w:eastAsia="zh-CN"/>
              </w:rPr>
              <w:t xml:space="preserve">开采方式 </w:t>
            </w:r>
          </w:p>
          <w:p>
            <w:pPr>
              <w:autoSpaceDE/>
              <w:autoSpaceDN/>
              <w:spacing w:line="360" w:lineRule="auto"/>
              <w:ind w:firstLine="436" w:firstLineChars="200"/>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eastAsia="宋体" w:cs="Times New Roman"/>
                <w:color w:val="auto"/>
                <w:spacing w:val="4"/>
                <w:kern w:val="2"/>
                <w:sz w:val="21"/>
                <w:szCs w:val="21"/>
                <w:highlight w:val="none"/>
                <w:lang w:val="en-US" w:eastAsia="zh-CN"/>
              </w:rPr>
              <w:t xml:space="preserve">根据矿体赋存状态、开采技术条件及开采现状，设计采用山坡式露天开采方式。 </w:t>
            </w:r>
          </w:p>
          <w:p>
            <w:pPr>
              <w:autoSpaceDE/>
              <w:autoSpaceDN/>
              <w:spacing w:line="360" w:lineRule="auto"/>
              <w:ind w:firstLine="436" w:firstLineChars="200"/>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val="en-US" w:eastAsia="zh-CN"/>
              </w:rPr>
              <w:t>（2）</w:t>
            </w:r>
            <w:r>
              <w:rPr>
                <w:rFonts w:hint="eastAsia" w:ascii="Times New Roman" w:hAnsi="Times New Roman" w:eastAsia="宋体" w:cs="Times New Roman"/>
                <w:color w:val="auto"/>
                <w:spacing w:val="4"/>
                <w:kern w:val="2"/>
                <w:sz w:val="21"/>
                <w:szCs w:val="21"/>
                <w:highlight w:val="none"/>
                <w:lang w:val="en-US" w:eastAsia="zh-CN"/>
              </w:rPr>
              <w:t xml:space="preserve">采矿方法 </w:t>
            </w:r>
          </w:p>
          <w:p>
            <w:pPr>
              <w:autoSpaceDE/>
              <w:autoSpaceDN/>
              <w:spacing w:line="360" w:lineRule="auto"/>
              <w:ind w:firstLine="436" w:firstLineChars="200"/>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eastAsia="宋体" w:cs="Times New Roman"/>
                <w:color w:val="auto"/>
                <w:spacing w:val="4"/>
                <w:kern w:val="2"/>
                <w:sz w:val="21"/>
                <w:szCs w:val="21"/>
                <w:highlight w:val="none"/>
                <w:lang w:val="en-US" w:eastAsia="zh-CN"/>
              </w:rPr>
              <w:t xml:space="preserve">根据地形地质条件、矿山生产规模及机械化程度，设计采用露天开采方式，自上而下分层、分台阶式采剥法。 </w:t>
            </w:r>
          </w:p>
          <w:p>
            <w:pPr>
              <w:autoSpaceDE/>
              <w:autoSpaceDN/>
              <w:spacing w:line="360" w:lineRule="auto"/>
              <w:ind w:firstLine="436" w:firstLineChars="200"/>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val="en-US" w:eastAsia="zh-CN"/>
              </w:rPr>
              <w:t>（3）</w:t>
            </w:r>
            <w:r>
              <w:rPr>
                <w:rFonts w:hint="eastAsia" w:ascii="Times New Roman" w:hAnsi="Times New Roman" w:eastAsia="宋体" w:cs="Times New Roman"/>
                <w:color w:val="auto"/>
                <w:spacing w:val="4"/>
                <w:kern w:val="2"/>
                <w:sz w:val="21"/>
                <w:szCs w:val="21"/>
                <w:highlight w:val="none"/>
                <w:lang w:val="en-US" w:eastAsia="zh-CN"/>
              </w:rPr>
              <w:t xml:space="preserve">采矿工艺 </w:t>
            </w:r>
          </w:p>
          <w:p>
            <w:pPr>
              <w:autoSpaceDE/>
              <w:autoSpaceDN/>
              <w:spacing w:line="360" w:lineRule="auto"/>
              <w:ind w:firstLine="436" w:firstLineChars="200"/>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eastAsia="宋体" w:cs="Times New Roman"/>
                <w:color w:val="auto"/>
                <w:spacing w:val="4"/>
                <w:kern w:val="2"/>
                <w:sz w:val="21"/>
                <w:szCs w:val="21"/>
                <w:highlight w:val="none"/>
                <w:lang w:val="en-US" w:eastAsia="zh-CN"/>
              </w:rPr>
              <w:t xml:space="preserve">根据矿体的赋存条件，矿体经剥离后，可直接用挖掘机采挖。 </w:t>
            </w:r>
          </w:p>
          <w:p>
            <w:pPr>
              <w:autoSpaceDE/>
              <w:autoSpaceDN/>
              <w:spacing w:line="360" w:lineRule="auto"/>
              <w:ind w:firstLine="436" w:firstLineChars="200"/>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val="en-US" w:eastAsia="zh-CN"/>
              </w:rPr>
              <w:t>（4）</w:t>
            </w:r>
            <w:r>
              <w:rPr>
                <w:rFonts w:hint="eastAsia" w:ascii="Times New Roman" w:hAnsi="Times New Roman" w:eastAsia="宋体" w:cs="Times New Roman"/>
                <w:color w:val="auto"/>
                <w:spacing w:val="4"/>
                <w:kern w:val="2"/>
                <w:sz w:val="21"/>
                <w:szCs w:val="21"/>
                <w:highlight w:val="none"/>
                <w:lang w:val="en-US" w:eastAsia="zh-CN"/>
              </w:rPr>
              <w:t xml:space="preserve">采场要素 </w:t>
            </w:r>
          </w:p>
          <w:p>
            <w:pPr>
              <w:autoSpaceDE/>
              <w:autoSpaceDN/>
              <w:spacing w:line="360" w:lineRule="auto"/>
              <w:ind w:firstLine="436" w:firstLineChars="200"/>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eastAsia="宋体" w:cs="Times New Roman"/>
                <w:color w:val="auto"/>
                <w:spacing w:val="4"/>
                <w:kern w:val="2"/>
                <w:sz w:val="21"/>
                <w:szCs w:val="21"/>
                <w:highlight w:val="none"/>
                <w:lang w:val="en-US" w:eastAsia="zh-CN"/>
              </w:rPr>
              <w:t xml:space="preserve">工作台阶高度：6.00m；工作/最终台阶坡面角：65°；最终边坡角：39°；最小工作平台宽度：30m；最小工作线长度：50m。 </w:t>
            </w:r>
          </w:p>
          <w:p>
            <w:pPr>
              <w:autoSpaceDE/>
              <w:autoSpaceDN/>
              <w:spacing w:line="360" w:lineRule="auto"/>
              <w:ind w:firstLine="436" w:firstLineChars="200"/>
              <w:jc w:val="both"/>
              <w:rPr>
                <w:rFonts w:ascii="Times New Roman" w:hAnsi="Times New Roman" w:eastAsia="宋体"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val="en-US" w:eastAsia="zh-CN"/>
              </w:rPr>
              <w:t>（5）</w:t>
            </w:r>
            <w:r>
              <w:rPr>
                <w:rFonts w:hint="eastAsia" w:ascii="Times New Roman" w:hAnsi="Times New Roman" w:eastAsia="宋体" w:cs="Times New Roman"/>
                <w:color w:val="auto"/>
                <w:spacing w:val="4"/>
                <w:kern w:val="2"/>
                <w:sz w:val="21"/>
                <w:szCs w:val="21"/>
                <w:highlight w:val="none"/>
                <w:lang w:val="en-US" w:eastAsia="zh-CN"/>
              </w:rPr>
              <w:t xml:space="preserve">运输方案 </w:t>
            </w:r>
          </w:p>
          <w:p>
            <w:pPr>
              <w:autoSpaceDE/>
              <w:autoSpaceDN/>
              <w:spacing w:line="360" w:lineRule="auto"/>
              <w:ind w:firstLine="436" w:firstLineChars="200"/>
              <w:jc w:val="both"/>
              <w:rPr>
                <w:rFonts w:hint="eastAsia" w:ascii="Times New Roman" w:hAnsi="Times New Roman" w:eastAsia="宋体" w:cs="Times New Roman"/>
                <w:color w:val="auto"/>
                <w:spacing w:val="4"/>
                <w:kern w:val="2"/>
                <w:sz w:val="21"/>
                <w:szCs w:val="21"/>
                <w:highlight w:val="none"/>
                <w:lang w:val="en-US" w:eastAsia="zh-CN"/>
              </w:rPr>
            </w:pPr>
            <w:r>
              <w:rPr>
                <w:rFonts w:hint="eastAsia" w:ascii="Times New Roman" w:hAnsi="Times New Roman" w:eastAsia="宋体" w:cs="Times New Roman"/>
                <w:color w:val="auto"/>
                <w:spacing w:val="4"/>
                <w:kern w:val="2"/>
                <w:sz w:val="21"/>
                <w:szCs w:val="21"/>
                <w:highlight w:val="none"/>
                <w:lang w:val="en-US" w:eastAsia="zh-CN"/>
              </w:rPr>
              <w:t>矿区外东南侧现有北东-南西向乡村道路通过，长约253</w:t>
            </w:r>
            <w:r>
              <w:rPr>
                <w:rFonts w:hint="eastAsia" w:ascii="Times New Roman" w:hAnsi="Times New Roman" w:cs="Times New Roman"/>
                <w:color w:val="auto"/>
                <w:spacing w:val="4"/>
                <w:kern w:val="2"/>
                <w:sz w:val="21"/>
                <w:szCs w:val="21"/>
                <w:highlight w:val="none"/>
                <w:lang w:val="en-US" w:eastAsia="zh-CN"/>
              </w:rPr>
              <w:t>m</w:t>
            </w:r>
            <w:r>
              <w:rPr>
                <w:rFonts w:hint="eastAsia" w:ascii="Times New Roman" w:hAnsi="Times New Roman" w:eastAsia="宋体" w:cs="Times New Roman"/>
                <w:color w:val="auto"/>
                <w:spacing w:val="4"/>
                <w:kern w:val="2"/>
                <w:sz w:val="21"/>
                <w:szCs w:val="21"/>
                <w:highlight w:val="none"/>
                <w:lang w:val="en-US" w:eastAsia="zh-CN"/>
              </w:rPr>
              <w:t>，路面宽度5.0</w:t>
            </w:r>
            <w:r>
              <w:rPr>
                <w:rFonts w:hint="eastAsia" w:ascii="Times New Roman" w:hAnsi="Times New Roman" w:cs="Times New Roman"/>
                <w:color w:val="auto"/>
                <w:spacing w:val="4"/>
                <w:kern w:val="2"/>
                <w:sz w:val="21"/>
                <w:szCs w:val="21"/>
                <w:highlight w:val="none"/>
                <w:lang w:val="en-US" w:eastAsia="zh-CN"/>
              </w:rPr>
              <w:t>m</w:t>
            </w:r>
            <w:r>
              <w:rPr>
                <w:rFonts w:hint="eastAsia" w:ascii="Times New Roman" w:hAnsi="Times New Roman" w:eastAsia="宋体" w:cs="Times New Roman"/>
                <w:color w:val="auto"/>
                <w:spacing w:val="4"/>
                <w:kern w:val="2"/>
                <w:sz w:val="21"/>
                <w:szCs w:val="21"/>
                <w:highlight w:val="none"/>
                <w:lang w:val="en-US" w:eastAsia="zh-CN"/>
              </w:rPr>
              <w:t>。采用汽车运输方式。</w:t>
            </w:r>
          </w:p>
          <w:p>
            <w:pPr>
              <w:numPr>
                <w:ilvl w:val="0"/>
                <w:numId w:val="0"/>
              </w:numPr>
              <w:autoSpaceDE/>
              <w:autoSpaceDN/>
              <w:spacing w:line="360" w:lineRule="auto"/>
              <w:ind w:firstLine="436" w:firstLineChars="200"/>
              <w:jc w:val="both"/>
              <w:rPr>
                <w:rFonts w:hint="eastAsia" w:ascii="Times New Roman" w:hAnsi="Times New Roman" w:cs="Times New Roman"/>
                <w:color w:val="auto"/>
                <w:spacing w:val="4"/>
                <w:kern w:val="2"/>
                <w:sz w:val="21"/>
                <w:szCs w:val="21"/>
                <w:highlight w:val="none"/>
                <w:lang w:val="en-US" w:eastAsia="zh-CN"/>
              </w:rPr>
            </w:pPr>
            <w:r>
              <w:rPr>
                <w:rFonts w:hint="eastAsia" w:ascii="Times New Roman" w:hAnsi="Times New Roman" w:cs="Times New Roman"/>
                <w:color w:val="auto"/>
                <w:spacing w:val="4"/>
                <w:kern w:val="2"/>
                <w:sz w:val="21"/>
                <w:szCs w:val="21"/>
                <w:highlight w:val="none"/>
                <w:lang w:val="en-US" w:eastAsia="zh-CN"/>
              </w:rPr>
              <w:t>（6）机修方案</w:t>
            </w:r>
          </w:p>
          <w:p>
            <w:pPr>
              <w:numPr>
                <w:ilvl w:val="0"/>
                <w:numId w:val="0"/>
              </w:numPr>
              <w:autoSpaceDE/>
              <w:autoSpaceDN/>
              <w:spacing w:line="360" w:lineRule="auto"/>
              <w:jc w:val="both"/>
              <w:rPr>
                <w:rFonts w:hint="default" w:ascii="Times New Roman" w:hAnsi="Times New Roman" w:cs="Times New Roman"/>
                <w:color w:val="auto"/>
                <w:spacing w:val="4"/>
                <w:kern w:val="2"/>
                <w:sz w:val="21"/>
                <w:szCs w:val="21"/>
                <w:highlight w:val="none"/>
                <w:lang w:val="en-US" w:eastAsia="zh-CN"/>
              </w:rPr>
            </w:pPr>
            <w:r>
              <w:rPr>
                <w:rFonts w:hint="eastAsia" w:ascii="Times New Roman" w:hAnsi="Times New Roman" w:cs="Times New Roman"/>
                <w:color w:val="auto"/>
                <w:spacing w:val="4"/>
                <w:kern w:val="2"/>
                <w:sz w:val="21"/>
                <w:szCs w:val="21"/>
                <w:highlight w:val="none"/>
                <w:lang w:val="en-US" w:eastAsia="zh-CN"/>
              </w:rPr>
              <w:t xml:space="preserve">        项目区挖掘机、铲车、装载汽车修理依托塔勒德镇汽车维修厂，不在项目区内维修。</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w:t>
            </w:r>
            <w:r>
              <w:rPr>
                <w:rFonts w:hint="eastAsia" w:ascii="Times New Roman" w:hAnsi="Times New Roman" w:eastAsia="宋体" w:cs="Times New Roman"/>
                <w:color w:val="auto"/>
                <w:kern w:val="0"/>
                <w:sz w:val="21"/>
                <w:szCs w:val="21"/>
                <w:highlight w:val="none"/>
                <w:lang w:val="en-US" w:eastAsia="zh-CN" w:bidi="ar"/>
              </w:rPr>
              <w:t>7</w:t>
            </w:r>
            <w:r>
              <w:rPr>
                <w:rFonts w:hint="default" w:ascii="Times New Roman" w:hAnsi="Times New Roman" w:eastAsia="宋体" w:cs="Times New Roman"/>
                <w:color w:val="auto"/>
                <w:kern w:val="0"/>
                <w:sz w:val="21"/>
                <w:szCs w:val="21"/>
                <w:highlight w:val="none"/>
                <w:lang w:val="en-US" w:eastAsia="zh-CN" w:bidi="ar"/>
              </w:rPr>
              <w:t xml:space="preserve">）复绿工程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color w:val="auto"/>
                <w:kern w:val="0"/>
                <w:sz w:val="24"/>
                <w:szCs w:val="24"/>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对覆土后的场地播撒草籽进行复绿。通过天然降水自然复绿。复垦后植被覆盖率约50%，管护期满后复垦为牧草地。种植方式采用人工撒播，每公顷播撒草籽50</w:t>
            </w:r>
            <w:r>
              <w:rPr>
                <w:rFonts w:hint="eastAsia" w:ascii="Times New Roman" w:hAnsi="Times New Roman" w:eastAsia="宋体" w:cs="Times New Roman"/>
                <w:color w:val="auto"/>
                <w:kern w:val="0"/>
                <w:sz w:val="21"/>
                <w:szCs w:val="21"/>
                <w:highlight w:val="none"/>
                <w:lang w:val="en-US" w:eastAsia="zh-CN" w:bidi="ar"/>
              </w:rPr>
              <w:t>kg</w:t>
            </w:r>
            <w:r>
              <w:rPr>
                <w:rFonts w:hint="default" w:ascii="Times New Roman" w:hAnsi="Times New Roman" w:eastAsia="宋体" w:cs="Times New Roman"/>
                <w:color w:val="auto"/>
                <w:kern w:val="0"/>
                <w:sz w:val="21"/>
                <w:szCs w:val="21"/>
                <w:highlight w:val="none"/>
                <w:lang w:val="en-US" w:eastAsia="zh-CN" w:bidi="ar"/>
              </w:rPr>
              <w:t>。</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 xml:space="preserve">（8）规划矿区道路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36"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spacing w:val="4"/>
                <w:kern w:val="2"/>
                <w:sz w:val="21"/>
                <w:szCs w:val="21"/>
                <w:highlight w:val="none"/>
                <w:lang w:val="en-US" w:eastAsia="zh-CN"/>
              </w:rPr>
              <w:t>矿区外东南侧现有北东-南西向乡村道路通过，长约253</w:t>
            </w:r>
            <w:r>
              <w:rPr>
                <w:rFonts w:hint="eastAsia" w:ascii="Times New Roman" w:hAnsi="Times New Roman" w:cs="Times New Roman"/>
                <w:color w:val="auto"/>
                <w:spacing w:val="4"/>
                <w:kern w:val="2"/>
                <w:sz w:val="21"/>
                <w:szCs w:val="21"/>
                <w:highlight w:val="none"/>
                <w:lang w:val="en-US" w:eastAsia="zh-CN"/>
              </w:rPr>
              <w:t>m</w:t>
            </w:r>
            <w:r>
              <w:rPr>
                <w:rFonts w:hint="eastAsia" w:ascii="Times New Roman" w:hAnsi="Times New Roman" w:eastAsia="宋体" w:cs="Times New Roman"/>
                <w:color w:val="auto"/>
                <w:spacing w:val="4"/>
                <w:kern w:val="2"/>
                <w:sz w:val="21"/>
                <w:szCs w:val="21"/>
                <w:highlight w:val="none"/>
                <w:lang w:val="en-US" w:eastAsia="zh-CN"/>
              </w:rPr>
              <w:t>，路面宽度5.0</w:t>
            </w:r>
            <w:r>
              <w:rPr>
                <w:rFonts w:hint="eastAsia" w:ascii="Times New Roman" w:hAnsi="Times New Roman" w:cs="Times New Roman"/>
                <w:color w:val="auto"/>
                <w:spacing w:val="4"/>
                <w:kern w:val="2"/>
                <w:sz w:val="21"/>
                <w:szCs w:val="21"/>
                <w:highlight w:val="none"/>
                <w:lang w:val="en-US" w:eastAsia="zh-CN"/>
              </w:rPr>
              <w:t>m</w:t>
            </w:r>
            <w:r>
              <w:rPr>
                <w:rFonts w:hint="eastAsia" w:ascii="Times New Roman" w:hAnsi="Times New Roman" w:eastAsia="宋体" w:cs="Times New Roman"/>
                <w:color w:val="auto"/>
                <w:kern w:val="0"/>
                <w:sz w:val="21"/>
                <w:szCs w:val="21"/>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b/>
                <w:color w:val="auto"/>
                <w:sz w:val="21"/>
                <w:szCs w:val="21"/>
                <w:highlight w:val="none"/>
              </w:rPr>
            </w:pPr>
            <w:r>
              <w:rPr>
                <w:rFonts w:hint="eastAsia" w:ascii="Times New Roman" w:hAnsi="Times New Roman" w:cs="Times New Roman"/>
                <w:color w:val="auto"/>
                <w:spacing w:val="4"/>
                <w:kern w:val="2"/>
                <w:sz w:val="21"/>
                <w:szCs w:val="21"/>
                <w:highlight w:val="none"/>
                <w:lang w:val="en-US" w:eastAsia="zh-CN"/>
              </w:rPr>
              <w:t>5、</w:t>
            </w:r>
            <w:r>
              <w:rPr>
                <w:rFonts w:hint="eastAsia"/>
                <w:b/>
                <w:color w:val="auto"/>
                <w:sz w:val="21"/>
                <w:szCs w:val="21"/>
                <w:highlight w:val="none"/>
              </w:rPr>
              <w:t>土石方平衡</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ascii="Times New Roman" w:hAnsi="Times New Roman"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本工程</w:t>
            </w:r>
            <w:r>
              <w:rPr>
                <w:rFonts w:hint="eastAsia" w:ascii="Times New Roman" w:hAnsi="Times New Roman" w:cs="Times New Roman"/>
                <w:b w:val="0"/>
                <w:bCs w:val="0"/>
                <w:color w:val="auto"/>
                <w:sz w:val="21"/>
                <w:szCs w:val="21"/>
                <w:highlight w:val="none"/>
                <w:lang w:eastAsia="zh-CN"/>
              </w:rPr>
              <w:t>黏土</w:t>
            </w:r>
            <w:r>
              <w:rPr>
                <w:rFonts w:hint="default" w:ascii="Times New Roman" w:hAnsi="Times New Roman" w:cs="Times New Roman"/>
                <w:b w:val="0"/>
                <w:bCs w:val="0"/>
                <w:color w:val="auto"/>
                <w:sz w:val="21"/>
                <w:szCs w:val="21"/>
                <w:highlight w:val="none"/>
              </w:rPr>
              <w:t>方开挖量</w:t>
            </w:r>
            <w:r>
              <w:rPr>
                <w:rFonts w:hint="default" w:ascii="Times New Roman" w:hAnsi="Times New Roman" w:cs="Times New Roman"/>
                <w:b w:val="0"/>
                <w:bCs w:val="0"/>
                <w:color w:val="auto"/>
                <w:sz w:val="21"/>
                <w:szCs w:val="21"/>
                <w:highlight w:val="none"/>
                <w:lang w:val="en-US" w:eastAsia="zh-CN"/>
              </w:rPr>
              <w:t>6万</w:t>
            </w:r>
            <w:r>
              <w:rPr>
                <w:rFonts w:hint="default" w:ascii="Times New Roman" w:hAnsi="Times New Roman" w:cs="Times New Roman"/>
                <w:b w:val="0"/>
                <w:bCs w:val="0"/>
                <w:color w:val="auto"/>
                <w:sz w:val="21"/>
                <w:szCs w:val="21"/>
                <w:highlight w:val="none"/>
              </w:rPr>
              <w:t>m</w:t>
            </w:r>
            <w:r>
              <w:rPr>
                <w:rFonts w:hint="default" w:ascii="Times New Roman" w:hAnsi="Times New Roman" w:cs="Times New Roman"/>
                <w:b w:val="0"/>
                <w:bCs w:val="0"/>
                <w:color w:val="auto"/>
                <w:sz w:val="21"/>
                <w:szCs w:val="21"/>
                <w:highlight w:val="none"/>
                <w:vertAlign w:val="superscript"/>
              </w:rPr>
              <w:t>3</w:t>
            </w:r>
            <w:r>
              <w:rPr>
                <w:rFonts w:hint="default" w:ascii="Times New Roman" w:hAnsi="Times New Roman" w:cs="Times New Roman"/>
                <w:b w:val="0"/>
                <w:bCs w:val="0"/>
                <w:color w:val="auto"/>
                <w:sz w:val="21"/>
                <w:szCs w:val="21"/>
                <w:highlight w:val="none"/>
                <w:vertAlign w:val="baseline"/>
                <w:lang w:val="en-US" w:eastAsia="zh-CN"/>
              </w:rPr>
              <w:t>/a</w:t>
            </w: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项目</w:t>
            </w:r>
            <w:r>
              <w:rPr>
                <w:rFonts w:hint="eastAsia" w:ascii="Times New Roman" w:hAnsi="Times New Roman" w:cs="Times New Roman"/>
                <w:b w:val="0"/>
                <w:bCs w:val="0"/>
                <w:color w:val="auto"/>
                <w:sz w:val="21"/>
                <w:szCs w:val="21"/>
                <w:highlight w:val="none"/>
                <w:lang w:eastAsia="zh-CN"/>
              </w:rPr>
              <w:t>黏土</w:t>
            </w:r>
            <w:r>
              <w:rPr>
                <w:rFonts w:hint="default" w:ascii="Times New Roman" w:hAnsi="Times New Roman" w:cs="Times New Roman"/>
                <w:b w:val="0"/>
                <w:bCs w:val="0"/>
                <w:color w:val="auto"/>
                <w:sz w:val="21"/>
                <w:szCs w:val="21"/>
                <w:highlight w:val="none"/>
                <w:lang w:eastAsia="zh-CN"/>
              </w:rPr>
              <w:t>开采后直接运至砖厂，不在项目区内筛分</w:t>
            </w:r>
            <w:r>
              <w:rPr>
                <w:rFonts w:hint="eastAsia" w:ascii="Times New Roman" w:hAnsi="Times New Roman" w:cs="Times New Roman"/>
                <w:b w:val="0"/>
                <w:bCs w:val="0"/>
                <w:color w:val="auto"/>
                <w:sz w:val="21"/>
                <w:szCs w:val="21"/>
                <w:highlight w:val="none"/>
                <w:lang w:eastAsia="zh-CN"/>
              </w:rPr>
              <w:t>，无弃方产生</w:t>
            </w:r>
            <w:r>
              <w:rPr>
                <w:rFonts w:hint="default" w:ascii="Times New Roman" w:hAnsi="Times New Roman" w:cs="Times New Roman"/>
                <w:b w:val="0"/>
                <w:bCs w:val="0"/>
                <w:color w:val="auto"/>
                <w:sz w:val="21"/>
                <w:szCs w:val="21"/>
                <w:highlight w:val="none"/>
                <w:lang w:val="en-US" w:eastAsia="zh-CN"/>
              </w:rPr>
              <w:t>。</w:t>
            </w:r>
            <w:r>
              <w:rPr>
                <w:rFonts w:hint="eastAsia" w:ascii="Times New Roman" w:hAnsi="Times New Roman" w:cs="Times New Roman"/>
                <w:b w:val="0"/>
                <w:bCs w:val="0"/>
                <w:color w:val="auto"/>
                <w:sz w:val="21"/>
                <w:szCs w:val="21"/>
                <w:highlight w:val="none"/>
                <w:lang w:val="en-US" w:eastAsia="zh-CN"/>
              </w:rPr>
              <w:t>矿体上覆腐殖质层，平均厚度</w:t>
            </w:r>
            <w:r>
              <w:rPr>
                <w:rFonts w:hint="default" w:ascii="Times New Roman" w:hAnsi="Times New Roman" w:cs="Times New Roman"/>
                <w:b w:val="0"/>
                <w:bCs w:val="0"/>
                <w:color w:val="auto"/>
                <w:sz w:val="21"/>
                <w:szCs w:val="21"/>
                <w:highlight w:val="none"/>
                <w:lang w:val="en-US" w:eastAsia="zh-CN"/>
              </w:rPr>
              <w:t>0.3</w:t>
            </w:r>
            <w:r>
              <w:rPr>
                <w:rFonts w:hint="eastAsia" w:ascii="Times New Roman" w:hAnsi="Times New Roman" w:cs="Times New Roman"/>
                <w:b w:val="0"/>
                <w:bCs w:val="0"/>
                <w:color w:val="auto"/>
                <w:sz w:val="21"/>
                <w:szCs w:val="21"/>
                <w:highlight w:val="none"/>
                <w:lang w:val="en-US" w:eastAsia="zh-CN"/>
              </w:rPr>
              <w:t>m，开采时进行剥离，堆放至规划表土堆放场。矿区面积22560m</w:t>
            </w:r>
            <w:r>
              <w:rPr>
                <w:rFonts w:hint="eastAsia" w:ascii="Times New Roman" w:hAnsi="Times New Roman" w:cs="Times New Roman"/>
                <w:b w:val="0"/>
                <w:bCs w:val="0"/>
                <w:color w:val="auto"/>
                <w:sz w:val="21"/>
                <w:szCs w:val="21"/>
                <w:highlight w:val="none"/>
                <w:vertAlign w:val="superscript"/>
                <w:lang w:val="en-US" w:eastAsia="zh-CN"/>
              </w:rPr>
              <w:t>2</w:t>
            </w:r>
            <w:r>
              <w:rPr>
                <w:rFonts w:hint="eastAsia" w:ascii="Times New Roman" w:hAnsi="Times New Roman" w:cs="Times New Roman"/>
                <w:b w:val="0"/>
                <w:bCs w:val="0"/>
                <w:color w:val="auto"/>
                <w:sz w:val="21"/>
                <w:szCs w:val="21"/>
                <w:highlight w:val="none"/>
                <w:lang w:val="en-US" w:eastAsia="zh-CN"/>
              </w:rPr>
              <w:t>，剥离总量为6768m</w:t>
            </w:r>
            <w:r>
              <w:rPr>
                <w:rFonts w:hint="eastAsia" w:ascii="Times New Roman" w:hAnsi="Times New Roman" w:cs="Times New Roman"/>
                <w:b w:val="0"/>
                <w:bCs w:val="0"/>
                <w:color w:val="auto"/>
                <w:sz w:val="21"/>
                <w:szCs w:val="21"/>
                <w:highlight w:val="none"/>
                <w:vertAlign w:val="superscript"/>
                <w:lang w:val="en-US" w:eastAsia="zh-CN"/>
              </w:rPr>
              <w:t>3</w:t>
            </w:r>
            <w:r>
              <w:rPr>
                <w:rFonts w:hint="default" w:ascii="Times New Roman" w:hAnsi="Times New Roman" w:cs="Times New Roman"/>
                <w:b w:val="0"/>
                <w:bCs w:val="0"/>
                <w:color w:val="auto"/>
                <w:sz w:val="21"/>
                <w:szCs w:val="21"/>
                <w:highlight w:val="none"/>
                <w:lang w:val="en-US" w:eastAsia="zh-CN"/>
              </w:rPr>
              <w:t>。</w:t>
            </w:r>
          </w:p>
          <w:p>
            <w:pPr>
              <w:autoSpaceDE/>
              <w:autoSpaceDN/>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（5）矿产</w:t>
            </w:r>
            <w:r>
              <w:rPr>
                <w:rFonts w:ascii="Times New Roman" w:hAnsi="Times New Roman" w:cs="Times New Roman"/>
                <w:color w:val="auto"/>
                <w:spacing w:val="4"/>
                <w:kern w:val="2"/>
                <w:sz w:val="21"/>
                <w:szCs w:val="21"/>
                <w:highlight w:val="none"/>
                <w:lang w:eastAsia="zh-CN"/>
              </w:rPr>
              <w:t>资源储量及服务年限</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hint="default" w:ascii="Times New Roman" w:hAnsi="Times New Roman" w:eastAsia="宋体" w:cs="Times New Roman"/>
                <w:color w:val="auto"/>
                <w:spacing w:val="4"/>
                <w:kern w:val="2"/>
                <w:sz w:val="21"/>
                <w:szCs w:val="21"/>
                <w:highlight w:val="none"/>
                <w:lang w:val="en-US" w:eastAsia="zh-CN"/>
              </w:rPr>
            </w:pPr>
            <w:r>
              <w:rPr>
                <w:rFonts w:hint="eastAsia" w:ascii="Times New Roman" w:hAnsi="Times New Roman" w:eastAsia="宋体" w:cs="Times New Roman"/>
                <w:color w:val="auto"/>
                <w:spacing w:val="4"/>
                <w:kern w:val="2"/>
                <w:sz w:val="21"/>
                <w:szCs w:val="21"/>
                <w:highlight w:val="none"/>
                <w:lang w:val="en-US" w:eastAsia="zh-CN"/>
              </w:rPr>
              <w:t>根据《新源县塔勒德镇胡尔萨依砖瓦用粘土矿矿产资源开发利用方案》，矿山设计开采对象为矿区范围内设计可采矿体。设计可采资源量</w:t>
            </w:r>
            <w:r>
              <w:rPr>
                <w:rFonts w:hint="eastAsia" w:ascii="Times New Roman" w:hAnsi="Times New Roman" w:cs="Times New Roman"/>
                <w:color w:val="auto"/>
                <w:spacing w:val="4"/>
                <w:kern w:val="2"/>
                <w:sz w:val="21"/>
                <w:szCs w:val="21"/>
                <w:highlight w:val="none"/>
                <w:lang w:val="en-US" w:eastAsia="zh-CN"/>
              </w:rPr>
              <w:t>43.09</w:t>
            </w:r>
            <w:r>
              <w:rPr>
                <w:rFonts w:hint="eastAsia" w:ascii="Times New Roman" w:hAnsi="Times New Roman" w:eastAsia="宋体" w:cs="Times New Roman"/>
                <w:color w:val="auto"/>
                <w:spacing w:val="4"/>
                <w:kern w:val="2"/>
                <w:sz w:val="21"/>
                <w:szCs w:val="21"/>
                <w:highlight w:val="none"/>
                <w:lang w:val="en-US" w:eastAsia="zh-CN"/>
              </w:rPr>
              <w:t>万m</w:t>
            </w:r>
            <w:r>
              <w:rPr>
                <w:rFonts w:hint="eastAsia" w:ascii="Times New Roman" w:hAnsi="Times New Roman" w:eastAsia="宋体" w:cs="Times New Roman"/>
                <w:color w:val="auto"/>
                <w:spacing w:val="4"/>
                <w:kern w:val="2"/>
                <w:sz w:val="21"/>
                <w:szCs w:val="21"/>
                <w:highlight w:val="none"/>
                <w:vertAlign w:val="superscript"/>
                <w:lang w:val="en-US" w:eastAsia="zh-CN"/>
              </w:rPr>
              <w:t>3</w:t>
            </w:r>
            <w:r>
              <w:rPr>
                <w:rFonts w:hint="eastAsia" w:ascii="Times New Roman" w:hAnsi="Times New Roman" w:eastAsia="宋体" w:cs="Times New Roman"/>
                <w:color w:val="auto"/>
                <w:spacing w:val="4"/>
                <w:kern w:val="2"/>
                <w:sz w:val="21"/>
                <w:szCs w:val="21"/>
                <w:highlight w:val="none"/>
                <w:lang w:val="en-US" w:eastAsia="zh-CN"/>
              </w:rPr>
              <w:t>。矿山设计生产规模6.0万m</w:t>
            </w:r>
            <w:r>
              <w:rPr>
                <w:rFonts w:hint="eastAsia" w:ascii="Times New Roman" w:hAnsi="Times New Roman" w:eastAsia="宋体" w:cs="Times New Roman"/>
                <w:color w:val="auto"/>
                <w:spacing w:val="4"/>
                <w:kern w:val="2"/>
                <w:sz w:val="21"/>
                <w:szCs w:val="21"/>
                <w:highlight w:val="none"/>
                <w:vertAlign w:val="superscript"/>
                <w:lang w:val="en-US" w:eastAsia="zh-CN"/>
              </w:rPr>
              <w:t>3</w:t>
            </w:r>
            <w:r>
              <w:rPr>
                <w:rFonts w:hint="eastAsia" w:ascii="Times New Roman" w:hAnsi="Times New Roman" w:eastAsia="宋体" w:cs="Times New Roman"/>
                <w:color w:val="auto"/>
                <w:spacing w:val="4"/>
                <w:kern w:val="2"/>
                <w:sz w:val="21"/>
                <w:szCs w:val="21"/>
                <w:highlight w:val="none"/>
                <w:lang w:val="en-US" w:eastAsia="zh-CN"/>
              </w:rPr>
              <w:t>/a。矿山服务年限</w:t>
            </w:r>
            <w:r>
              <w:rPr>
                <w:rFonts w:hint="eastAsia" w:ascii="Times New Roman" w:hAnsi="Times New Roman" w:cs="Times New Roman"/>
                <w:color w:val="auto"/>
                <w:spacing w:val="4"/>
                <w:kern w:val="2"/>
                <w:sz w:val="21"/>
                <w:szCs w:val="21"/>
                <w:highlight w:val="none"/>
                <w:lang w:val="en-US" w:eastAsia="zh-CN"/>
              </w:rPr>
              <w:t>7.18</w:t>
            </w:r>
            <w:r>
              <w:rPr>
                <w:rFonts w:hint="eastAsia" w:ascii="Times New Roman" w:hAnsi="Times New Roman" w:eastAsia="宋体" w:cs="Times New Roman"/>
                <w:color w:val="auto"/>
                <w:spacing w:val="4"/>
                <w:kern w:val="2"/>
                <w:sz w:val="21"/>
                <w:szCs w:val="21"/>
                <w:highlight w:val="none"/>
                <w:lang w:val="en-US" w:eastAsia="zh-CN"/>
              </w:rPr>
              <w:t>a</w:t>
            </w:r>
            <w:r>
              <w:rPr>
                <w:rFonts w:ascii="Times New Roman" w:hAnsi="Times New Roman" w:cs="Times New Roman"/>
                <w:color w:val="auto"/>
                <w:spacing w:val="4"/>
                <w:kern w:val="2"/>
                <w:sz w:val="21"/>
                <w:szCs w:val="21"/>
                <w:highlight w:val="none"/>
                <w:lang w:eastAsia="zh-CN"/>
              </w:rPr>
              <w:t>。</w:t>
            </w:r>
            <w:r>
              <w:rPr>
                <w:rFonts w:hint="eastAsia" w:ascii="Times New Roman" w:hAnsi="Times New Roman" w:cs="Times New Roman"/>
                <w:color w:val="auto"/>
                <w:spacing w:val="4"/>
                <w:kern w:val="2"/>
                <w:sz w:val="21"/>
                <w:szCs w:val="21"/>
                <w:highlight w:val="none"/>
                <w:lang w:val="en-US" w:eastAsia="zh-CN"/>
              </w:rPr>
              <w:t>储量估算平面图见图4。</w:t>
            </w:r>
          </w:p>
          <w:p>
            <w:pPr>
              <w:autoSpaceDE/>
              <w:autoSpaceDN/>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w:t>
            </w:r>
            <w:r>
              <w:rPr>
                <w:rFonts w:ascii="Times New Roman" w:hAnsi="Times New Roman" w:cs="Times New Roman"/>
                <w:color w:val="auto"/>
                <w:spacing w:val="4"/>
                <w:kern w:val="2"/>
                <w:sz w:val="21"/>
                <w:szCs w:val="21"/>
                <w:highlight w:val="none"/>
                <w:lang w:eastAsia="zh-CN"/>
              </w:rPr>
              <w:t>6）劳动定员与</w:t>
            </w:r>
            <w:r>
              <w:rPr>
                <w:rFonts w:hint="eastAsia" w:ascii="Times New Roman" w:hAnsi="Times New Roman" w:cs="Times New Roman"/>
                <w:color w:val="auto"/>
                <w:spacing w:val="4"/>
                <w:kern w:val="2"/>
                <w:sz w:val="21"/>
                <w:szCs w:val="21"/>
                <w:highlight w:val="none"/>
                <w:lang w:val="en-US" w:eastAsia="zh-CN"/>
              </w:rPr>
              <w:t>工作</w:t>
            </w:r>
            <w:r>
              <w:rPr>
                <w:rFonts w:ascii="Times New Roman" w:hAnsi="Times New Roman" w:cs="Times New Roman"/>
                <w:color w:val="auto"/>
                <w:spacing w:val="4"/>
                <w:kern w:val="2"/>
                <w:sz w:val="21"/>
                <w:szCs w:val="21"/>
                <w:highlight w:val="none"/>
                <w:lang w:eastAsia="zh-CN"/>
              </w:rPr>
              <w:t>制度</w:t>
            </w:r>
          </w:p>
          <w:p>
            <w:pPr>
              <w:autoSpaceDE/>
              <w:autoSpaceDN/>
              <w:spacing w:line="360" w:lineRule="auto"/>
              <w:ind w:firstLine="436" w:firstLineChars="200"/>
              <w:jc w:val="both"/>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项目</w:t>
            </w:r>
            <w:r>
              <w:rPr>
                <w:rFonts w:ascii="Times New Roman" w:hAnsi="Times New Roman" w:cs="Times New Roman"/>
                <w:color w:val="auto"/>
                <w:spacing w:val="4"/>
                <w:kern w:val="2"/>
                <w:sz w:val="21"/>
                <w:szCs w:val="21"/>
                <w:highlight w:val="none"/>
                <w:lang w:eastAsia="zh-CN"/>
              </w:rPr>
              <w:t>劳动定员</w:t>
            </w:r>
            <w:r>
              <w:rPr>
                <w:rFonts w:hint="eastAsia" w:ascii="Times New Roman" w:hAnsi="Times New Roman" w:cs="Times New Roman"/>
                <w:color w:val="auto"/>
                <w:spacing w:val="4"/>
                <w:kern w:val="2"/>
                <w:sz w:val="21"/>
                <w:szCs w:val="21"/>
                <w:highlight w:val="none"/>
                <w:lang w:val="en-US" w:eastAsia="zh-CN"/>
              </w:rPr>
              <w:t>5</w:t>
            </w:r>
            <w:r>
              <w:rPr>
                <w:rFonts w:hint="eastAsia" w:ascii="Times New Roman" w:hAnsi="Times New Roman" w:cs="Times New Roman"/>
                <w:color w:val="auto"/>
                <w:spacing w:val="4"/>
                <w:kern w:val="2"/>
                <w:sz w:val="21"/>
                <w:szCs w:val="21"/>
                <w:highlight w:val="none"/>
                <w:lang w:eastAsia="zh-CN"/>
              </w:rPr>
              <w:t>人</w:t>
            </w:r>
            <w:r>
              <w:rPr>
                <w:rFonts w:ascii="Times New Roman" w:hAnsi="Times New Roman" w:cs="Times New Roman"/>
                <w:color w:val="auto"/>
                <w:spacing w:val="4"/>
                <w:kern w:val="2"/>
                <w:sz w:val="21"/>
                <w:szCs w:val="21"/>
                <w:highlight w:val="none"/>
                <w:lang w:eastAsia="zh-CN"/>
              </w:rPr>
              <w:t>，一班制，每班</w:t>
            </w:r>
            <w:r>
              <w:rPr>
                <w:rFonts w:hint="eastAsia" w:ascii="Times New Roman" w:hAnsi="Times New Roman" w:cs="Times New Roman"/>
                <w:color w:val="auto"/>
                <w:spacing w:val="4"/>
                <w:kern w:val="2"/>
                <w:sz w:val="21"/>
                <w:szCs w:val="21"/>
                <w:highlight w:val="none"/>
                <w:lang w:val="en-US" w:eastAsia="zh-CN"/>
              </w:rPr>
              <w:t>8</w:t>
            </w:r>
            <w:r>
              <w:rPr>
                <w:rFonts w:ascii="Times New Roman" w:hAnsi="Times New Roman" w:cs="Times New Roman"/>
                <w:color w:val="auto"/>
                <w:spacing w:val="4"/>
                <w:kern w:val="2"/>
                <w:sz w:val="21"/>
                <w:szCs w:val="21"/>
                <w:highlight w:val="none"/>
                <w:lang w:eastAsia="zh-CN"/>
              </w:rPr>
              <w:t>h，全年生产</w:t>
            </w:r>
            <w:r>
              <w:rPr>
                <w:rFonts w:hint="eastAsia" w:ascii="Times New Roman" w:hAnsi="Times New Roman" w:cs="Times New Roman"/>
                <w:color w:val="auto"/>
                <w:spacing w:val="4"/>
                <w:kern w:val="2"/>
                <w:sz w:val="21"/>
                <w:szCs w:val="21"/>
                <w:highlight w:val="none"/>
                <w:lang w:eastAsia="zh-CN"/>
              </w:rPr>
              <w:t>2</w:t>
            </w:r>
            <w:r>
              <w:rPr>
                <w:rFonts w:hint="eastAsia" w:ascii="Times New Roman" w:hAnsi="Times New Roman" w:cs="Times New Roman"/>
                <w:color w:val="auto"/>
                <w:spacing w:val="4"/>
                <w:kern w:val="2"/>
                <w:sz w:val="21"/>
                <w:szCs w:val="21"/>
                <w:highlight w:val="none"/>
                <w:lang w:val="en-US" w:eastAsia="zh-CN"/>
              </w:rPr>
              <w:t>5</w:t>
            </w:r>
            <w:r>
              <w:rPr>
                <w:rFonts w:hint="eastAsia" w:ascii="Times New Roman" w:hAnsi="Times New Roman" w:cs="Times New Roman"/>
                <w:color w:val="auto"/>
                <w:spacing w:val="4"/>
                <w:kern w:val="2"/>
                <w:sz w:val="21"/>
                <w:szCs w:val="21"/>
                <w:highlight w:val="none"/>
                <w:lang w:eastAsia="zh-CN"/>
              </w:rPr>
              <w:t>0</w:t>
            </w:r>
            <w:r>
              <w:rPr>
                <w:rFonts w:ascii="Times New Roman" w:hAnsi="Times New Roman" w:cs="Times New Roman"/>
                <w:color w:val="auto"/>
                <w:spacing w:val="4"/>
                <w:kern w:val="2"/>
                <w:sz w:val="21"/>
                <w:szCs w:val="21"/>
                <w:highlight w:val="none"/>
                <w:lang w:eastAsia="zh-CN"/>
              </w:rPr>
              <w:t>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872"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总平面及现场布置</w:t>
            </w:r>
          </w:p>
        </w:tc>
        <w:tc>
          <w:tcPr>
            <w:tcW w:w="8812" w:type="dxa"/>
            <w:tcBorders>
              <w:top w:val="single" w:color="000000" w:sz="4" w:space="0"/>
              <w:left w:val="single" w:color="000000" w:sz="4" w:space="0"/>
              <w:bottom w:val="single" w:color="000000" w:sz="4" w:space="0"/>
            </w:tcBorders>
          </w:tcPr>
          <w:p>
            <w:pPr>
              <w:autoSpaceDE/>
              <w:autoSpaceDN/>
              <w:spacing w:line="360" w:lineRule="auto"/>
              <w:ind w:firstLine="436" w:firstLineChars="200"/>
              <w:jc w:val="both"/>
              <w:rPr>
                <w:rFonts w:hint="eastAsia"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val="en-US" w:eastAsia="zh-CN"/>
              </w:rPr>
              <w:t>该采矿证范围主要为采矿场，工业广场（堆场）、办公生活区与新源县塔勒德镇阿克托别砖瓦用粘土矿共用。采矿场与工业广场相距9.5km。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49" w:hRule="atLeast"/>
        </w:trPr>
        <w:tc>
          <w:tcPr>
            <w:tcW w:w="872" w:type="dxa"/>
            <w:tcBorders>
              <w:top w:val="single" w:color="000000" w:sz="4" w:space="0"/>
              <w:bottom w:val="single" w:color="000000" w:sz="4" w:space="0"/>
              <w:right w:val="single" w:color="auto" w:sz="4" w:space="0"/>
            </w:tcBorders>
            <w:vAlign w:val="center"/>
          </w:tcPr>
          <w:p>
            <w:pPr>
              <w:pStyle w:val="18"/>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施工</w:t>
            </w:r>
          </w:p>
          <w:p>
            <w:pPr>
              <w:pStyle w:val="18"/>
              <w:jc w:val="center"/>
              <w:rPr>
                <w:rFonts w:ascii="Times New Roman" w:hAnsi="Times New Roman" w:cs="Times New Roman"/>
                <w:color w:val="auto"/>
                <w:sz w:val="21"/>
                <w:szCs w:val="21"/>
                <w:highlight w:val="none"/>
              </w:rPr>
            </w:pPr>
            <w:r>
              <w:rPr>
                <w:rFonts w:ascii="Times New Roman" w:hAnsi="Times New Roman" w:cs="Times New Roman"/>
                <w:b/>
                <w:bCs/>
                <w:color w:val="auto"/>
                <w:sz w:val="21"/>
                <w:szCs w:val="21"/>
                <w:highlight w:val="none"/>
              </w:rPr>
              <w:t>方案</w:t>
            </w:r>
          </w:p>
        </w:tc>
        <w:tc>
          <w:tcPr>
            <w:tcW w:w="8812" w:type="dxa"/>
            <w:tcBorders>
              <w:top w:val="single" w:color="000000" w:sz="4" w:space="0"/>
              <w:left w:val="single" w:color="auto" w:sz="4" w:space="0"/>
              <w:bottom w:val="single" w:color="000000" w:sz="4" w:space="0"/>
            </w:tcBorders>
            <w:vAlign w:val="center"/>
          </w:tcPr>
          <w:p>
            <w:pPr>
              <w:autoSpaceDE/>
              <w:autoSpaceDN/>
              <w:spacing w:line="360" w:lineRule="auto"/>
              <w:jc w:val="center"/>
              <w:rPr>
                <w:rFonts w:ascii="Times New Roman" w:hAnsi="Times New Roman" w:cs="Times New Roman"/>
                <w:color w:val="auto"/>
                <w:spacing w:val="4"/>
                <w:kern w:val="2"/>
                <w:sz w:val="21"/>
                <w:szCs w:val="21"/>
                <w:highlight w:val="none"/>
                <w:lang w:eastAsia="zh-CN"/>
              </w:rPr>
            </w:pPr>
            <w:r>
              <w:rPr>
                <w:rFonts w:hint="eastAsia" w:ascii="Times New Roman" w:hAnsi="Times New Roman" w:cs="Times New Roman"/>
                <w:color w:val="auto"/>
                <w:spacing w:val="4"/>
                <w:kern w:val="2"/>
                <w:sz w:val="21"/>
                <w:szCs w:val="21"/>
                <w:highlight w:val="none"/>
                <w:lang w:eastAsia="zh-CN"/>
              </w:rPr>
              <w:t>本项目无施工期建设内容，因此无施工方案。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0" w:hRule="atLeast"/>
        </w:trPr>
        <w:tc>
          <w:tcPr>
            <w:tcW w:w="872" w:type="dxa"/>
            <w:tcBorders>
              <w:top w:val="single" w:color="000000" w:sz="4" w:space="0"/>
              <w:right w:val="single" w:color="000000" w:sz="4" w:space="0"/>
            </w:tcBorders>
            <w:vAlign w:val="center"/>
          </w:tcPr>
          <w:p>
            <w:pPr>
              <w:pStyle w:val="18"/>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其他</w:t>
            </w:r>
          </w:p>
        </w:tc>
        <w:tc>
          <w:tcPr>
            <w:tcW w:w="8812" w:type="dxa"/>
            <w:tcBorders>
              <w:top w:val="single" w:color="000000" w:sz="4" w:space="0"/>
              <w:left w:val="single" w:color="000000" w:sz="4" w:space="0"/>
            </w:tcBorders>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无</w:t>
            </w:r>
          </w:p>
        </w:tc>
      </w:tr>
    </w:tbl>
    <w:p>
      <w:pPr>
        <w:ind w:right="420"/>
        <w:rPr>
          <w:rFonts w:ascii="Times New Roman" w:hAnsi="Times New Roman" w:cs="Times New Roman"/>
          <w:sz w:val="21"/>
        </w:rPr>
      </w:pPr>
    </w:p>
    <w:p>
      <w:pPr>
        <w:tabs>
          <w:tab w:val="left" w:pos="1260"/>
        </w:tabs>
        <w:rPr>
          <w:rFonts w:ascii="Times New Roman" w:hAnsi="Times New Roman" w:cs="Times New Roman"/>
          <w:sz w:val="21"/>
        </w:rPr>
        <w:sectPr>
          <w:footerReference r:id="rId6" w:type="default"/>
          <w:footerReference r:id="rId7" w:type="even"/>
          <w:pgSz w:w="11913" w:h="1684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8"/>
        <w:jc w:val="center"/>
        <w:rPr>
          <w:rFonts w:ascii="Times New Roman" w:hAnsi="Times New Roman" w:cs="Times New Roman"/>
          <w:b/>
          <w:bCs/>
          <w:lang w:eastAsia="zh-CN"/>
        </w:rPr>
      </w:pPr>
      <w:r>
        <w:rPr>
          <w:rFonts w:ascii="Times New Roman" w:hAnsi="Times New Roman" w:cs="Times New Roman"/>
          <w:b/>
          <w:bCs/>
          <w:lang w:eastAsia="zh-CN"/>
        </w:rPr>
        <w:t>三、生态环境现状、保护目标及评价标准</w:t>
      </w:r>
    </w:p>
    <w:tbl>
      <w:tblPr>
        <w:tblStyle w:val="16"/>
        <w:tblW w:w="96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87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76" w:hRule="atLeast"/>
        </w:trPr>
        <w:tc>
          <w:tcPr>
            <w:tcW w:w="870" w:type="dxa"/>
            <w:tcBorders>
              <w:bottom w:val="single" w:color="000000" w:sz="4" w:space="0"/>
              <w:right w:val="single" w:color="000000" w:sz="4" w:space="0"/>
            </w:tcBorders>
            <w:vAlign w:val="center"/>
          </w:tcPr>
          <w:p>
            <w:pPr>
              <w:pStyle w:val="18"/>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生态</w:t>
            </w:r>
          </w:p>
          <w:p>
            <w:pPr>
              <w:pStyle w:val="18"/>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环境</w:t>
            </w:r>
          </w:p>
          <w:p>
            <w:pPr>
              <w:pStyle w:val="18"/>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现状</w:t>
            </w:r>
          </w:p>
        </w:tc>
        <w:tc>
          <w:tcPr>
            <w:tcW w:w="8795" w:type="dxa"/>
            <w:tcBorders>
              <w:left w:val="single" w:color="000000" w:sz="4" w:space="0"/>
              <w:bottom w:val="single" w:color="000000" w:sz="4" w:space="0"/>
            </w:tcBorders>
          </w:tcPr>
          <w:p>
            <w:pPr>
              <w:autoSpaceDE/>
              <w:autoSpaceDN/>
              <w:spacing w:before="120" w:beforeLines="50" w:line="360" w:lineRule="auto"/>
              <w:jc w:val="both"/>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1、大气环境质量现状评价</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（1）项目所在区域大气环境质量现状数据</w:t>
            </w:r>
          </w:p>
          <w:p>
            <w:pPr>
              <w:keepNext w:val="0"/>
              <w:keepLines w:val="0"/>
              <w:pageBreakBefore w:val="0"/>
              <w:widowControl w:val="0"/>
              <w:kinsoku/>
              <w:wordWrap/>
              <w:overflowPunct/>
              <w:topLinePunct w:val="0"/>
              <w:bidi w:val="0"/>
              <w:adjustRightInd/>
              <w:snapToGrid/>
              <w:spacing w:line="360" w:lineRule="auto"/>
              <w:ind w:firstLine="420" w:firstLineChars="200"/>
              <w:jc w:val="center"/>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根据《环境影响评价技术导则  大气环境》（HJ 2.2-2018）的要求，对基本污染物和特征污染物的环境质量现状进行评价，项目位于新源县塔勒德镇，本项目区域大气环境质量（常规污染物）现状数据引用202</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eastAsia="zh-CN"/>
              </w:rPr>
              <w:t>年伊犁哈萨克自治州环境空气质量数据（出处：环境空气质量模型技术支持服务系统，网址：</w:t>
            </w:r>
            <w:r>
              <w:rPr>
                <w:rFonts w:hint="default" w:ascii="Times New Roman" w:hAnsi="Times New Roman" w:eastAsia="宋体" w:cs="Times New Roman"/>
                <w:color w:val="auto"/>
                <w:sz w:val="21"/>
                <w:szCs w:val="21"/>
                <w:highlight w:val="none"/>
                <w:u w:val="none"/>
                <w:lang w:eastAsia="zh-CN"/>
              </w:rPr>
              <w:fldChar w:fldCharType="begin"/>
            </w:r>
            <w:r>
              <w:rPr>
                <w:rFonts w:hint="default" w:ascii="Times New Roman" w:hAnsi="Times New Roman" w:eastAsia="宋体" w:cs="Times New Roman"/>
                <w:color w:val="auto"/>
                <w:sz w:val="21"/>
                <w:szCs w:val="21"/>
                <w:highlight w:val="none"/>
                <w:u w:val="none"/>
                <w:lang w:eastAsia="zh-CN"/>
              </w:rPr>
              <w:instrText xml:space="preserve"> HYPERLINK "http://data.lem.org.cn/eamds/apply/tostepone.html）。本项目区域大气环境质量（特征污染物）现状数据采用环境空气质量现状监测数据（新疆锡水金山环境科技有限" </w:instrText>
            </w:r>
            <w:r>
              <w:rPr>
                <w:rFonts w:hint="default" w:ascii="Times New Roman" w:hAnsi="Times New Roman" w:eastAsia="宋体" w:cs="Times New Roman"/>
                <w:color w:val="auto"/>
                <w:sz w:val="21"/>
                <w:szCs w:val="21"/>
                <w:highlight w:val="none"/>
                <w:u w:val="none"/>
                <w:lang w:eastAsia="zh-CN"/>
              </w:rPr>
              <w:fldChar w:fldCharType="separate"/>
            </w:r>
            <w:r>
              <w:rPr>
                <w:rStyle w:val="13"/>
                <w:rFonts w:hint="default" w:ascii="Times New Roman" w:hAnsi="Times New Roman" w:eastAsia="宋体" w:cs="Times New Roman"/>
                <w:color w:val="auto"/>
                <w:sz w:val="21"/>
                <w:szCs w:val="21"/>
                <w:highlight w:val="none"/>
                <w:u w:val="none"/>
                <w:lang w:eastAsia="zh-CN"/>
              </w:rPr>
              <w:t>http://data.lem.org.cn/eamds/apply/tostepone.html）。本项目区域大气环境质量（特征污染物）现状数据采用环境空气质量现状监测数据（</w:t>
            </w:r>
            <w:r>
              <w:rPr>
                <w:rStyle w:val="13"/>
                <w:rFonts w:hint="eastAsia" w:ascii="Times New Roman" w:hAnsi="Times New Roman" w:eastAsia="宋体" w:cs="Times New Roman"/>
                <w:color w:val="auto"/>
                <w:sz w:val="21"/>
                <w:szCs w:val="21"/>
                <w:highlight w:val="none"/>
                <w:u w:val="none"/>
                <w:lang w:eastAsia="zh-CN"/>
              </w:rPr>
              <w:t>新疆</w:t>
            </w:r>
            <w:r>
              <w:rPr>
                <w:rStyle w:val="13"/>
                <w:rFonts w:hint="eastAsia" w:ascii="Times New Roman" w:hAnsi="Times New Roman" w:eastAsia="宋体" w:cs="Times New Roman"/>
                <w:color w:val="auto"/>
                <w:sz w:val="21"/>
                <w:szCs w:val="21"/>
                <w:highlight w:val="none"/>
                <w:u w:val="none"/>
                <w:lang w:val="en-US" w:eastAsia="zh-CN"/>
              </w:rPr>
              <w:t>锡水金山环境科技</w:t>
            </w:r>
            <w:r>
              <w:rPr>
                <w:rStyle w:val="13"/>
                <w:rFonts w:hint="eastAsia" w:ascii="Times New Roman" w:hAnsi="Times New Roman" w:eastAsia="宋体" w:cs="Times New Roman"/>
                <w:color w:val="auto"/>
                <w:sz w:val="21"/>
                <w:szCs w:val="21"/>
                <w:highlight w:val="none"/>
                <w:u w:val="none"/>
                <w:lang w:eastAsia="zh-CN"/>
              </w:rPr>
              <w:t>有限</w:t>
            </w:r>
            <w:r>
              <w:rPr>
                <w:rFonts w:hint="default" w:ascii="Times New Roman" w:hAnsi="Times New Roman" w:eastAsia="宋体" w:cs="Times New Roman"/>
                <w:color w:val="auto"/>
                <w:sz w:val="21"/>
                <w:szCs w:val="21"/>
                <w:highlight w:val="none"/>
                <w:u w:val="none"/>
                <w:lang w:eastAsia="zh-CN"/>
              </w:rPr>
              <w:fldChar w:fldCharType="end"/>
            </w:r>
          </w:p>
          <w:p>
            <w:pPr>
              <w:keepNext w:val="0"/>
              <w:keepLines w:val="0"/>
              <w:pageBreakBefore w:val="0"/>
              <w:widowControl w:val="0"/>
              <w:kinsoku/>
              <w:wordWrap/>
              <w:overflowPunct/>
              <w:topLinePunct w:val="0"/>
              <w:bidi w:val="0"/>
              <w:adjustRightInd/>
              <w:snapToGrid/>
              <w:spacing w:line="360" w:lineRule="auto"/>
              <w:jc w:val="both"/>
              <w:textAlignment w:val="auto"/>
              <w:rPr>
                <w:rFonts w:hint="default"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公司</w:t>
            </w:r>
            <w:r>
              <w:rPr>
                <w:rFonts w:hint="default" w:ascii="Times New Roman" w:hAnsi="Times New Roman" w:eastAsia="宋体" w:cs="Times New Roman"/>
                <w:color w:val="auto"/>
                <w:sz w:val="21"/>
                <w:szCs w:val="21"/>
                <w:highlight w:val="none"/>
                <w:lang w:eastAsia="zh-CN"/>
              </w:rPr>
              <w:t>，2022年</w:t>
            </w:r>
            <w:r>
              <w:rPr>
                <w:rFonts w:hint="eastAsia" w:ascii="Times New Roman" w:hAnsi="Times New Roman"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lang w:eastAsia="zh-CN"/>
              </w:rPr>
              <w:t>月</w:t>
            </w:r>
            <w:r>
              <w:rPr>
                <w:rFonts w:hint="eastAsia" w:ascii="Times New Roman" w:hAnsi="Times New Roman" w:cs="Times New Roman"/>
                <w:color w:val="auto"/>
                <w:sz w:val="21"/>
                <w:szCs w:val="21"/>
                <w:highlight w:val="none"/>
                <w:lang w:val="en-US" w:eastAsia="zh-CN"/>
              </w:rPr>
              <w:t>29</w:t>
            </w:r>
            <w:r>
              <w:rPr>
                <w:rFonts w:hint="default" w:ascii="Times New Roman" w:hAnsi="Times New Roman" w:eastAsia="宋体" w:cs="Times New Roman"/>
                <w:color w:val="auto"/>
                <w:sz w:val="21"/>
                <w:szCs w:val="21"/>
                <w:highlight w:val="none"/>
                <w:lang w:eastAsia="zh-CN"/>
              </w:rPr>
              <w:t>日-</w:t>
            </w:r>
            <w:r>
              <w:rPr>
                <w:rFonts w:hint="eastAsia" w:ascii="Times New Roman" w:hAnsi="Times New Roman" w:cs="Times New Roman"/>
                <w:color w:val="auto"/>
                <w:sz w:val="21"/>
                <w:szCs w:val="21"/>
                <w:highlight w:val="none"/>
                <w:lang w:val="en-US" w:eastAsia="zh-CN"/>
              </w:rPr>
              <w:t>8</w:t>
            </w:r>
            <w:r>
              <w:rPr>
                <w:rFonts w:hint="default" w:ascii="Times New Roman" w:hAnsi="Times New Roman" w:eastAsia="宋体" w:cs="Times New Roman"/>
                <w:color w:val="auto"/>
                <w:sz w:val="21"/>
                <w:szCs w:val="21"/>
                <w:highlight w:val="none"/>
                <w:lang w:eastAsia="zh-CN"/>
              </w:rPr>
              <w:t>月</w:t>
            </w:r>
            <w:r>
              <w:rPr>
                <w:rFonts w:hint="eastAsia" w:ascii="Times New Roman" w:hAnsi="Times New Roman" w:cs="Times New Roman"/>
                <w:color w:val="auto"/>
                <w:sz w:val="21"/>
                <w:szCs w:val="21"/>
                <w:highlight w:val="none"/>
                <w:lang w:val="en-US" w:eastAsia="zh-CN"/>
              </w:rPr>
              <w:t>31</w:t>
            </w:r>
            <w:r>
              <w:rPr>
                <w:rFonts w:hint="default" w:ascii="Times New Roman" w:hAnsi="Times New Roman" w:eastAsia="宋体" w:cs="Times New Roman"/>
                <w:color w:val="auto"/>
                <w:sz w:val="21"/>
                <w:szCs w:val="21"/>
                <w:highlight w:val="none"/>
                <w:lang w:eastAsia="zh-CN"/>
              </w:rPr>
              <w:t>日），监测点位示意图见附图</w:t>
            </w:r>
            <w:r>
              <w:rPr>
                <w:rFonts w:hint="eastAsia" w:ascii="Times New Roman" w:hAnsi="Times New Roman"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eastAsia="zh-CN"/>
              </w:rPr>
              <w:t>。</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（2）环境质量现状评价</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①评价标准</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常规污染物：环境空气中SO</w:t>
            </w:r>
            <w:r>
              <w:rPr>
                <w:rFonts w:hint="default" w:ascii="Times New Roman" w:hAnsi="Times New Roman" w:eastAsia="宋体" w:cs="Times New Roman"/>
                <w:color w:val="auto"/>
                <w:sz w:val="21"/>
                <w:szCs w:val="21"/>
                <w:highlight w:val="none"/>
                <w:vertAlign w:val="subscript"/>
                <w:lang w:eastAsia="zh-CN"/>
              </w:rPr>
              <w:t>2</w:t>
            </w:r>
            <w:r>
              <w:rPr>
                <w:rFonts w:hint="default" w:ascii="Times New Roman" w:hAnsi="Times New Roman" w:eastAsia="宋体" w:cs="Times New Roman"/>
                <w:color w:val="auto"/>
                <w:sz w:val="21"/>
                <w:szCs w:val="21"/>
                <w:highlight w:val="none"/>
                <w:lang w:eastAsia="zh-CN"/>
              </w:rPr>
              <w:t>、NO</w:t>
            </w:r>
            <w:r>
              <w:rPr>
                <w:rFonts w:hint="default" w:ascii="Times New Roman" w:hAnsi="Times New Roman" w:eastAsia="宋体" w:cs="Times New Roman"/>
                <w:color w:val="auto"/>
                <w:sz w:val="21"/>
                <w:szCs w:val="21"/>
                <w:highlight w:val="none"/>
                <w:vertAlign w:val="subscript"/>
                <w:lang w:eastAsia="zh-CN"/>
              </w:rPr>
              <w:t>2</w:t>
            </w:r>
            <w:r>
              <w:rPr>
                <w:rFonts w:hint="default" w:ascii="Times New Roman" w:hAnsi="Times New Roman" w:eastAsia="宋体" w:cs="Times New Roman"/>
                <w:color w:val="auto"/>
                <w:sz w:val="21"/>
                <w:szCs w:val="21"/>
                <w:highlight w:val="none"/>
                <w:lang w:eastAsia="zh-CN"/>
              </w:rPr>
              <w:t>、CO、O</w:t>
            </w:r>
            <w:r>
              <w:rPr>
                <w:rFonts w:hint="default" w:ascii="Times New Roman" w:hAnsi="Times New Roman" w:eastAsia="宋体" w:cs="Times New Roman"/>
                <w:color w:val="auto"/>
                <w:sz w:val="21"/>
                <w:szCs w:val="21"/>
                <w:highlight w:val="none"/>
                <w:vertAlign w:val="subscript"/>
                <w:lang w:eastAsia="zh-CN"/>
              </w:rPr>
              <w:t>3</w:t>
            </w:r>
            <w:r>
              <w:rPr>
                <w:rFonts w:hint="default" w:ascii="Times New Roman" w:hAnsi="Times New Roman" w:eastAsia="宋体" w:cs="Times New Roman"/>
                <w:color w:val="auto"/>
                <w:sz w:val="21"/>
                <w:szCs w:val="21"/>
                <w:highlight w:val="none"/>
                <w:lang w:eastAsia="zh-CN"/>
              </w:rPr>
              <w:t>、PM</w:t>
            </w:r>
            <w:r>
              <w:rPr>
                <w:rFonts w:hint="default" w:ascii="Times New Roman" w:hAnsi="Times New Roman" w:eastAsia="宋体" w:cs="Times New Roman"/>
                <w:color w:val="auto"/>
                <w:sz w:val="21"/>
                <w:szCs w:val="21"/>
                <w:highlight w:val="none"/>
                <w:vertAlign w:val="subscript"/>
                <w:lang w:eastAsia="zh-CN"/>
              </w:rPr>
              <w:t>10</w:t>
            </w:r>
            <w:r>
              <w:rPr>
                <w:rFonts w:hint="default" w:ascii="Times New Roman" w:hAnsi="Times New Roman" w:eastAsia="宋体" w:cs="Times New Roman"/>
                <w:color w:val="auto"/>
                <w:sz w:val="21"/>
                <w:szCs w:val="21"/>
                <w:highlight w:val="none"/>
                <w:lang w:eastAsia="zh-CN"/>
              </w:rPr>
              <w:t>、PM</w:t>
            </w:r>
            <w:r>
              <w:rPr>
                <w:rFonts w:hint="default" w:ascii="Times New Roman" w:hAnsi="Times New Roman" w:eastAsia="宋体" w:cs="Times New Roman"/>
                <w:color w:val="auto"/>
                <w:sz w:val="21"/>
                <w:szCs w:val="21"/>
                <w:highlight w:val="none"/>
                <w:vertAlign w:val="subscript"/>
                <w:lang w:eastAsia="zh-CN"/>
              </w:rPr>
              <w:t>2.5</w:t>
            </w:r>
            <w:r>
              <w:rPr>
                <w:rFonts w:hint="default" w:ascii="Times New Roman" w:hAnsi="Times New Roman" w:eastAsia="宋体" w:cs="Times New Roman"/>
                <w:color w:val="auto"/>
                <w:sz w:val="21"/>
                <w:szCs w:val="21"/>
                <w:highlight w:val="none"/>
                <w:lang w:eastAsia="zh-CN"/>
              </w:rPr>
              <w:t>执行《环境空气质量标准》（GB3095-2012）的二级标准。特征污染物：TSP执行《环境空气质量标准》（GB3095-2012）的二级标准（其他项目浓度限值）。</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②评价结果</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表</w:t>
            </w:r>
            <w:r>
              <w:rPr>
                <w:rFonts w:hint="default" w:ascii="Times New Roman" w:hAnsi="Times New Roman" w:eastAsia="宋体" w:cs="Times New Roman"/>
                <w:b/>
                <w:bCs/>
                <w:color w:val="auto"/>
                <w:sz w:val="21"/>
                <w:szCs w:val="21"/>
                <w:highlight w:val="none"/>
                <w:lang w:val="en-US" w:eastAsia="zh-CN"/>
              </w:rPr>
              <w:t>3-1</w:t>
            </w:r>
            <w:r>
              <w:rPr>
                <w:rFonts w:hint="default" w:ascii="Times New Roman" w:hAnsi="Times New Roman" w:eastAsia="宋体" w:cs="Times New Roman"/>
                <w:b/>
                <w:bCs/>
                <w:color w:val="auto"/>
                <w:sz w:val="21"/>
                <w:szCs w:val="21"/>
                <w:highlight w:val="none"/>
                <w:lang w:val="zh-CN" w:eastAsia="zh-CN"/>
              </w:rPr>
              <w:t xml:space="preserve">  区域空气质量现状评价表（基本项目）</w:t>
            </w:r>
          </w:p>
          <w:tbl>
            <w:tblPr>
              <w:tblStyle w:val="14"/>
              <w:tblW w:w="8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568"/>
              <w:gridCol w:w="1482"/>
              <w:gridCol w:w="1359"/>
              <w:gridCol w:w="1048"/>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污染物</w:t>
                  </w:r>
                </w:p>
              </w:tc>
              <w:tc>
                <w:tcPr>
                  <w:tcW w:w="2568"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年评价指标</w:t>
                  </w:r>
                </w:p>
              </w:tc>
              <w:tc>
                <w:tcPr>
                  <w:tcW w:w="1482"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现状浓度（</w:t>
                  </w:r>
                  <w:r>
                    <w:rPr>
                      <w:rFonts w:hint="eastAsia" w:ascii="Times New Roman" w:hAnsi="Times New Roman" w:cs="Times New Roman"/>
                      <w:b/>
                      <w:bCs/>
                      <w:color w:val="auto"/>
                      <w:sz w:val="21"/>
                      <w:szCs w:val="21"/>
                      <w:highlight w:val="none"/>
                      <w:lang w:val="zh-CN" w:eastAsia="zh-CN"/>
                    </w:rPr>
                    <w:t>μg/m3</w:t>
                  </w:r>
                  <w:r>
                    <w:rPr>
                      <w:rFonts w:hint="default" w:ascii="Times New Roman" w:hAnsi="Times New Roman" w:eastAsia="宋体" w:cs="Times New Roman"/>
                      <w:b/>
                      <w:bCs/>
                      <w:color w:val="auto"/>
                      <w:sz w:val="21"/>
                      <w:szCs w:val="21"/>
                      <w:highlight w:val="none"/>
                      <w:lang w:val="zh-CN" w:eastAsia="zh-CN"/>
                    </w:rPr>
                    <w:t>）</w:t>
                  </w:r>
                </w:p>
              </w:tc>
              <w:tc>
                <w:tcPr>
                  <w:tcW w:w="1359"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标准值（</w:t>
                  </w:r>
                  <w:r>
                    <w:rPr>
                      <w:rFonts w:hint="eastAsia" w:ascii="Times New Roman" w:hAnsi="Times New Roman" w:cs="Times New Roman"/>
                      <w:b/>
                      <w:bCs/>
                      <w:color w:val="auto"/>
                      <w:sz w:val="21"/>
                      <w:szCs w:val="21"/>
                      <w:highlight w:val="none"/>
                      <w:lang w:val="zh-CN" w:eastAsia="zh-CN"/>
                    </w:rPr>
                    <w:t>μg/m3</w:t>
                  </w:r>
                  <w:r>
                    <w:rPr>
                      <w:rFonts w:hint="default" w:ascii="Times New Roman" w:hAnsi="Times New Roman" w:eastAsia="宋体" w:cs="Times New Roman"/>
                      <w:b/>
                      <w:bCs/>
                      <w:color w:val="auto"/>
                      <w:sz w:val="21"/>
                      <w:szCs w:val="21"/>
                      <w:highlight w:val="none"/>
                      <w:lang w:val="zh-CN" w:eastAsia="zh-CN"/>
                    </w:rPr>
                    <w:t>）</w:t>
                  </w:r>
                </w:p>
              </w:tc>
              <w:tc>
                <w:tcPr>
                  <w:tcW w:w="1048"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占标率</w:t>
                  </w:r>
                </w:p>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w:t>
                  </w:r>
                </w:p>
              </w:tc>
              <w:tc>
                <w:tcPr>
                  <w:tcW w:w="1217"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SO</w:t>
                  </w:r>
                  <w:r>
                    <w:rPr>
                      <w:rFonts w:hint="default" w:ascii="Times New Roman" w:hAnsi="Times New Roman" w:eastAsia="宋体" w:cs="Times New Roman"/>
                      <w:color w:val="auto"/>
                      <w:sz w:val="21"/>
                      <w:szCs w:val="21"/>
                      <w:highlight w:val="none"/>
                      <w:vertAlign w:val="subscript"/>
                      <w:lang w:val="zh-CN" w:eastAsia="zh-CN"/>
                    </w:rPr>
                    <w:t>2</w:t>
                  </w:r>
                </w:p>
              </w:tc>
              <w:tc>
                <w:tcPr>
                  <w:tcW w:w="256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年平均值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14</w:t>
                  </w:r>
                </w:p>
              </w:tc>
              <w:tc>
                <w:tcPr>
                  <w:tcW w:w="1359"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60</w:t>
                  </w:r>
                </w:p>
              </w:tc>
              <w:tc>
                <w:tcPr>
                  <w:tcW w:w="104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23.33</w:t>
                  </w:r>
                </w:p>
              </w:tc>
              <w:tc>
                <w:tcPr>
                  <w:tcW w:w="1217"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NO</w:t>
                  </w:r>
                  <w:r>
                    <w:rPr>
                      <w:rFonts w:hint="default" w:ascii="Times New Roman" w:hAnsi="Times New Roman" w:eastAsia="宋体" w:cs="Times New Roman"/>
                      <w:color w:val="auto"/>
                      <w:sz w:val="21"/>
                      <w:szCs w:val="21"/>
                      <w:highlight w:val="none"/>
                      <w:vertAlign w:val="subscript"/>
                      <w:lang w:val="zh-CN" w:eastAsia="zh-CN"/>
                    </w:rPr>
                    <w:t>2</w:t>
                  </w:r>
                </w:p>
              </w:tc>
              <w:tc>
                <w:tcPr>
                  <w:tcW w:w="256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年平均值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29</w:t>
                  </w:r>
                </w:p>
              </w:tc>
              <w:tc>
                <w:tcPr>
                  <w:tcW w:w="1359"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40</w:t>
                  </w:r>
                </w:p>
              </w:tc>
              <w:tc>
                <w:tcPr>
                  <w:tcW w:w="104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72.50</w:t>
                  </w:r>
                </w:p>
              </w:tc>
              <w:tc>
                <w:tcPr>
                  <w:tcW w:w="1217"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CO</w:t>
                  </w:r>
                </w:p>
              </w:tc>
              <w:tc>
                <w:tcPr>
                  <w:tcW w:w="256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24小时平均值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3700</w:t>
                  </w:r>
                </w:p>
              </w:tc>
              <w:tc>
                <w:tcPr>
                  <w:tcW w:w="1359"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4000</w:t>
                  </w:r>
                </w:p>
              </w:tc>
              <w:tc>
                <w:tcPr>
                  <w:tcW w:w="104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92.50</w:t>
                  </w:r>
                </w:p>
              </w:tc>
              <w:tc>
                <w:tcPr>
                  <w:tcW w:w="1217"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O</w:t>
                  </w:r>
                  <w:r>
                    <w:rPr>
                      <w:rFonts w:hint="default" w:ascii="Times New Roman" w:hAnsi="Times New Roman" w:eastAsia="宋体" w:cs="Times New Roman"/>
                      <w:color w:val="auto"/>
                      <w:sz w:val="21"/>
                      <w:szCs w:val="21"/>
                      <w:highlight w:val="none"/>
                      <w:vertAlign w:val="subscript"/>
                      <w:lang w:val="zh-CN" w:eastAsia="zh-CN"/>
                    </w:rPr>
                    <w:t>3</w:t>
                  </w:r>
                </w:p>
              </w:tc>
              <w:tc>
                <w:tcPr>
                  <w:tcW w:w="256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日最大8小时平均值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119</w:t>
                  </w:r>
                </w:p>
              </w:tc>
              <w:tc>
                <w:tcPr>
                  <w:tcW w:w="1359"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160</w:t>
                  </w:r>
                </w:p>
              </w:tc>
              <w:tc>
                <w:tcPr>
                  <w:tcW w:w="104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74.38</w:t>
                  </w:r>
                </w:p>
              </w:tc>
              <w:tc>
                <w:tcPr>
                  <w:tcW w:w="1217"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PM</w:t>
                  </w:r>
                  <w:r>
                    <w:rPr>
                      <w:rFonts w:hint="default" w:ascii="Times New Roman" w:hAnsi="Times New Roman" w:eastAsia="宋体" w:cs="Times New Roman"/>
                      <w:color w:val="auto"/>
                      <w:sz w:val="21"/>
                      <w:szCs w:val="21"/>
                      <w:highlight w:val="none"/>
                      <w:vertAlign w:val="subscript"/>
                      <w:lang w:val="zh-CN" w:eastAsia="zh-CN"/>
                    </w:rPr>
                    <w:t>10</w:t>
                  </w:r>
                </w:p>
              </w:tc>
              <w:tc>
                <w:tcPr>
                  <w:tcW w:w="256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年平均值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70</w:t>
                  </w:r>
                </w:p>
              </w:tc>
              <w:tc>
                <w:tcPr>
                  <w:tcW w:w="1359"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70</w:t>
                  </w:r>
                </w:p>
              </w:tc>
              <w:tc>
                <w:tcPr>
                  <w:tcW w:w="104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100</w:t>
                  </w:r>
                </w:p>
              </w:tc>
              <w:tc>
                <w:tcPr>
                  <w:tcW w:w="1217"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PM</w:t>
                  </w:r>
                  <w:r>
                    <w:rPr>
                      <w:rFonts w:hint="default" w:ascii="Times New Roman" w:hAnsi="Times New Roman" w:eastAsia="宋体" w:cs="Times New Roman"/>
                      <w:color w:val="auto"/>
                      <w:sz w:val="21"/>
                      <w:szCs w:val="21"/>
                      <w:highlight w:val="none"/>
                      <w:vertAlign w:val="subscript"/>
                      <w:lang w:val="zh-CN" w:eastAsia="zh-CN"/>
                    </w:rPr>
                    <w:t>2.5</w:t>
                  </w:r>
                </w:p>
              </w:tc>
              <w:tc>
                <w:tcPr>
                  <w:tcW w:w="256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年平均值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43</w:t>
                  </w:r>
                </w:p>
              </w:tc>
              <w:tc>
                <w:tcPr>
                  <w:tcW w:w="1359"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35</w:t>
                  </w:r>
                </w:p>
              </w:tc>
              <w:tc>
                <w:tcPr>
                  <w:tcW w:w="1048"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122.86</w:t>
                  </w:r>
                </w:p>
              </w:tc>
              <w:tc>
                <w:tcPr>
                  <w:tcW w:w="1217"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不达标</w:t>
                  </w:r>
                </w:p>
              </w:tc>
            </w:tr>
          </w:tbl>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表</w:t>
            </w:r>
            <w:r>
              <w:rPr>
                <w:rFonts w:hint="default" w:ascii="Times New Roman" w:hAnsi="Times New Roman" w:eastAsia="宋体" w:cs="Times New Roman"/>
                <w:b/>
                <w:bCs/>
                <w:color w:val="auto"/>
                <w:sz w:val="21"/>
                <w:szCs w:val="21"/>
                <w:highlight w:val="none"/>
                <w:lang w:val="en-US" w:eastAsia="zh-CN"/>
              </w:rPr>
              <w:t>3-2</w:t>
            </w:r>
            <w:r>
              <w:rPr>
                <w:rFonts w:hint="default" w:ascii="Times New Roman" w:hAnsi="Times New Roman" w:eastAsia="宋体" w:cs="Times New Roman"/>
                <w:b/>
                <w:bCs/>
                <w:color w:val="auto"/>
                <w:sz w:val="21"/>
                <w:szCs w:val="21"/>
                <w:highlight w:val="none"/>
                <w:lang w:val="zh-CN" w:eastAsia="zh-CN"/>
              </w:rPr>
              <w:t xml:space="preserve">    区域空气质量现状评价表（其他项目）</w:t>
            </w:r>
          </w:p>
          <w:tbl>
            <w:tblPr>
              <w:tblStyle w:val="14"/>
              <w:tblW w:w="8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571"/>
              <w:gridCol w:w="1482"/>
              <w:gridCol w:w="1358"/>
              <w:gridCol w:w="104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4"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污染物</w:t>
                  </w:r>
                </w:p>
              </w:tc>
              <w:tc>
                <w:tcPr>
                  <w:tcW w:w="2571"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年评价指标</w:t>
                  </w:r>
                </w:p>
              </w:tc>
              <w:tc>
                <w:tcPr>
                  <w:tcW w:w="1482"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现状浓度（</w:t>
                  </w:r>
                  <w:r>
                    <w:rPr>
                      <w:rFonts w:hint="eastAsia" w:ascii="Times New Roman" w:hAnsi="Times New Roman" w:cs="Times New Roman"/>
                      <w:b/>
                      <w:bCs/>
                      <w:color w:val="auto"/>
                      <w:sz w:val="21"/>
                      <w:szCs w:val="21"/>
                      <w:highlight w:val="none"/>
                      <w:lang w:val="zh-CN" w:eastAsia="zh-CN"/>
                    </w:rPr>
                    <w:t>μg/m3</w:t>
                  </w:r>
                  <w:r>
                    <w:rPr>
                      <w:rFonts w:hint="default" w:ascii="Times New Roman" w:hAnsi="Times New Roman" w:eastAsia="宋体" w:cs="Times New Roman"/>
                      <w:b/>
                      <w:bCs/>
                      <w:color w:val="auto"/>
                      <w:sz w:val="21"/>
                      <w:szCs w:val="21"/>
                      <w:highlight w:val="none"/>
                      <w:lang w:val="zh-CN" w:eastAsia="zh-CN"/>
                    </w:rPr>
                    <w:t>）</w:t>
                  </w:r>
                </w:p>
              </w:tc>
              <w:tc>
                <w:tcPr>
                  <w:tcW w:w="1358"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标准值（</w:t>
                  </w:r>
                  <w:r>
                    <w:rPr>
                      <w:rFonts w:hint="eastAsia" w:ascii="Times New Roman" w:hAnsi="Times New Roman" w:cs="Times New Roman"/>
                      <w:b/>
                      <w:bCs/>
                      <w:color w:val="auto"/>
                      <w:sz w:val="21"/>
                      <w:szCs w:val="21"/>
                      <w:highlight w:val="none"/>
                      <w:lang w:val="zh-CN" w:eastAsia="zh-CN"/>
                    </w:rPr>
                    <w:t>μg/m3</w:t>
                  </w:r>
                  <w:r>
                    <w:rPr>
                      <w:rFonts w:hint="default" w:ascii="Times New Roman" w:hAnsi="Times New Roman" w:eastAsia="宋体" w:cs="Times New Roman"/>
                      <w:b/>
                      <w:bCs/>
                      <w:color w:val="auto"/>
                      <w:sz w:val="21"/>
                      <w:szCs w:val="21"/>
                      <w:highlight w:val="none"/>
                      <w:lang w:val="zh-CN" w:eastAsia="zh-CN"/>
                    </w:rPr>
                    <w:t>）</w:t>
                  </w:r>
                </w:p>
              </w:tc>
              <w:tc>
                <w:tcPr>
                  <w:tcW w:w="1047"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占标率</w:t>
                  </w:r>
                </w:p>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w:t>
                  </w:r>
                </w:p>
              </w:tc>
              <w:tc>
                <w:tcPr>
                  <w:tcW w:w="1217" w:type="dxa"/>
                  <w:shd w:val="clear" w:color="auto" w:fill="auto"/>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vMerge w:val="restart"/>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TSP</w:t>
                  </w:r>
                </w:p>
              </w:tc>
              <w:tc>
                <w:tcPr>
                  <w:tcW w:w="2571" w:type="dxa"/>
                  <w:vMerge w:val="restart"/>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日平均值</w:t>
                  </w:r>
                </w:p>
              </w:tc>
              <w:tc>
                <w:tcPr>
                  <w:tcW w:w="148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cs="Times New Roman"/>
                      <w:i w:val="0"/>
                      <w:color w:val="auto"/>
                      <w:kern w:val="0"/>
                      <w:sz w:val="21"/>
                      <w:szCs w:val="21"/>
                      <w:highlight w:val="none"/>
                      <w:u w:val="none"/>
                      <w:lang w:val="en-US" w:eastAsia="zh-CN" w:bidi="ar"/>
                    </w:rPr>
                    <w:t>175</w:t>
                  </w:r>
                </w:p>
              </w:tc>
              <w:tc>
                <w:tcPr>
                  <w:tcW w:w="1358" w:type="dxa"/>
                  <w:vMerge w:val="restart"/>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300</w:t>
                  </w:r>
                </w:p>
              </w:tc>
              <w:tc>
                <w:tcPr>
                  <w:tcW w:w="1047"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eastAsia" w:ascii="Times New Roman" w:hAnsi="Times New Roman" w:cs="Times New Roman"/>
                      <w:color w:val="auto"/>
                      <w:sz w:val="21"/>
                      <w:szCs w:val="21"/>
                      <w:highlight w:val="none"/>
                      <w:lang w:val="en-US" w:eastAsia="zh-CN"/>
                    </w:rPr>
                    <w:t>58</w:t>
                  </w:r>
                  <w:r>
                    <w:rPr>
                      <w:rFonts w:hint="default" w:ascii="Times New Roman" w:hAnsi="Times New Roman" w:eastAsia="宋体" w:cs="Times New Roman"/>
                      <w:color w:val="auto"/>
                      <w:sz w:val="21"/>
                      <w:szCs w:val="21"/>
                      <w:highlight w:val="none"/>
                      <w:lang w:val="zh-CN" w:eastAsia="zh-CN"/>
                    </w:rPr>
                    <w:t>.33</w:t>
                  </w:r>
                </w:p>
              </w:tc>
              <w:tc>
                <w:tcPr>
                  <w:tcW w:w="1217" w:type="dxa"/>
                  <w:vMerge w:val="restart"/>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vMerge w:val="continue"/>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p>
              </w:tc>
              <w:tc>
                <w:tcPr>
                  <w:tcW w:w="2571" w:type="dxa"/>
                  <w:vMerge w:val="continue"/>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p>
              </w:tc>
              <w:tc>
                <w:tcPr>
                  <w:tcW w:w="148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cs="Times New Roman"/>
                      <w:i w:val="0"/>
                      <w:color w:val="auto"/>
                      <w:kern w:val="0"/>
                      <w:sz w:val="21"/>
                      <w:szCs w:val="21"/>
                      <w:highlight w:val="none"/>
                      <w:u w:val="none"/>
                      <w:lang w:val="en-US" w:eastAsia="zh-CN" w:bidi="ar"/>
                    </w:rPr>
                    <w:t>145</w:t>
                  </w:r>
                </w:p>
              </w:tc>
              <w:tc>
                <w:tcPr>
                  <w:tcW w:w="1358" w:type="dxa"/>
                  <w:vMerge w:val="continue"/>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p>
              </w:tc>
              <w:tc>
                <w:tcPr>
                  <w:tcW w:w="1047"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48.33</w:t>
                  </w:r>
                </w:p>
              </w:tc>
              <w:tc>
                <w:tcPr>
                  <w:tcW w:w="1217" w:type="dxa"/>
                  <w:vMerge w:val="continue"/>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4" w:type="dxa"/>
                  <w:vMerge w:val="continue"/>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p>
              </w:tc>
              <w:tc>
                <w:tcPr>
                  <w:tcW w:w="2571" w:type="dxa"/>
                  <w:vMerge w:val="continue"/>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p>
              </w:tc>
              <w:tc>
                <w:tcPr>
                  <w:tcW w:w="148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cs="Times New Roman"/>
                      <w:i w:val="0"/>
                      <w:color w:val="auto"/>
                      <w:kern w:val="0"/>
                      <w:sz w:val="21"/>
                      <w:szCs w:val="21"/>
                      <w:highlight w:val="none"/>
                      <w:u w:val="none"/>
                      <w:lang w:val="en-US" w:eastAsia="zh-CN" w:bidi="ar"/>
                    </w:rPr>
                    <w:t>146</w:t>
                  </w:r>
                </w:p>
              </w:tc>
              <w:tc>
                <w:tcPr>
                  <w:tcW w:w="1358" w:type="dxa"/>
                  <w:vMerge w:val="continue"/>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p>
              </w:tc>
              <w:tc>
                <w:tcPr>
                  <w:tcW w:w="1047" w:type="dxa"/>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48.66</w:t>
                  </w:r>
                </w:p>
              </w:tc>
              <w:tc>
                <w:tcPr>
                  <w:tcW w:w="1217" w:type="dxa"/>
                  <w:vMerge w:val="continue"/>
                  <w:shd w:val="clear" w:color="auto" w:fill="auto"/>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p>
              </w:tc>
            </w:tr>
          </w:tbl>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由表中数据可知，环境空气污染物基本项目中，SO</w:t>
            </w:r>
            <w:r>
              <w:rPr>
                <w:rFonts w:hint="default" w:ascii="Times New Roman" w:hAnsi="Times New Roman" w:eastAsia="宋体" w:cs="Times New Roman"/>
                <w:color w:val="auto"/>
                <w:sz w:val="21"/>
                <w:szCs w:val="21"/>
                <w:highlight w:val="none"/>
                <w:vertAlign w:val="subscript"/>
                <w:lang w:eastAsia="zh-CN"/>
              </w:rPr>
              <w:t>2</w:t>
            </w:r>
            <w:r>
              <w:rPr>
                <w:rFonts w:hint="default" w:ascii="Times New Roman" w:hAnsi="Times New Roman" w:eastAsia="宋体" w:cs="Times New Roman"/>
                <w:color w:val="auto"/>
                <w:sz w:val="21"/>
                <w:szCs w:val="21"/>
                <w:highlight w:val="none"/>
                <w:lang w:eastAsia="zh-CN"/>
              </w:rPr>
              <w:t>、CO、O</w:t>
            </w:r>
            <w:r>
              <w:rPr>
                <w:rFonts w:hint="default" w:ascii="Times New Roman" w:hAnsi="Times New Roman" w:eastAsia="宋体" w:cs="Times New Roman"/>
                <w:color w:val="auto"/>
                <w:sz w:val="21"/>
                <w:szCs w:val="21"/>
                <w:highlight w:val="none"/>
                <w:vertAlign w:val="subscript"/>
                <w:lang w:eastAsia="zh-CN"/>
              </w:rPr>
              <w:t>3</w:t>
            </w:r>
            <w:r>
              <w:rPr>
                <w:rFonts w:hint="default" w:ascii="Times New Roman" w:hAnsi="Times New Roman" w:eastAsia="宋体" w:cs="Times New Roman"/>
                <w:color w:val="auto"/>
                <w:sz w:val="21"/>
                <w:szCs w:val="21"/>
                <w:highlight w:val="none"/>
                <w:lang w:eastAsia="zh-CN"/>
              </w:rPr>
              <w:t>、NO</w:t>
            </w:r>
            <w:r>
              <w:rPr>
                <w:rFonts w:hint="default" w:ascii="Times New Roman" w:hAnsi="Times New Roman" w:eastAsia="宋体" w:cs="Times New Roman"/>
                <w:color w:val="auto"/>
                <w:sz w:val="21"/>
                <w:szCs w:val="21"/>
                <w:highlight w:val="none"/>
                <w:vertAlign w:val="subscript"/>
                <w:lang w:eastAsia="zh-CN"/>
              </w:rPr>
              <w:t>2</w:t>
            </w:r>
            <w:r>
              <w:rPr>
                <w:rFonts w:hint="default" w:ascii="Times New Roman" w:hAnsi="Times New Roman" w:eastAsia="宋体" w:cs="Times New Roman"/>
                <w:color w:val="auto"/>
                <w:sz w:val="21"/>
                <w:szCs w:val="21"/>
                <w:highlight w:val="none"/>
                <w:lang w:eastAsia="zh-CN"/>
              </w:rPr>
              <w:t>、PM</w:t>
            </w:r>
            <w:r>
              <w:rPr>
                <w:rFonts w:hint="default" w:ascii="Times New Roman" w:hAnsi="Times New Roman" w:eastAsia="宋体" w:cs="Times New Roman"/>
                <w:color w:val="auto"/>
                <w:sz w:val="21"/>
                <w:szCs w:val="21"/>
                <w:highlight w:val="none"/>
                <w:vertAlign w:val="subscript"/>
                <w:lang w:eastAsia="zh-CN"/>
              </w:rPr>
              <w:t>10</w:t>
            </w:r>
            <w:r>
              <w:rPr>
                <w:rFonts w:hint="default" w:ascii="Times New Roman" w:hAnsi="Times New Roman" w:eastAsia="宋体" w:cs="Times New Roman"/>
                <w:color w:val="auto"/>
                <w:sz w:val="21"/>
                <w:szCs w:val="21"/>
                <w:highlight w:val="none"/>
                <w:lang w:eastAsia="zh-CN"/>
              </w:rPr>
              <w:t>五项指标满足《环境空气质量标准》（GB3095-2012）的二级标准要求，PM</w:t>
            </w:r>
            <w:r>
              <w:rPr>
                <w:rFonts w:hint="default" w:ascii="Times New Roman" w:hAnsi="Times New Roman" w:eastAsia="宋体" w:cs="Times New Roman"/>
                <w:color w:val="auto"/>
                <w:sz w:val="21"/>
                <w:szCs w:val="21"/>
                <w:highlight w:val="none"/>
                <w:vertAlign w:val="subscript"/>
                <w:lang w:eastAsia="zh-CN"/>
              </w:rPr>
              <w:t>2.5</w:t>
            </w:r>
            <w:r>
              <w:rPr>
                <w:rFonts w:hint="default" w:ascii="Times New Roman" w:hAnsi="Times New Roman" w:eastAsia="宋体" w:cs="Times New Roman"/>
                <w:color w:val="auto"/>
                <w:sz w:val="21"/>
                <w:szCs w:val="21"/>
                <w:highlight w:val="none"/>
                <w:lang w:eastAsia="zh-CN"/>
              </w:rPr>
              <w:t>超标，项目所在区域为不达标区。环境空气污染物其他项目中，TSP满足《环境空气质量标准》（GB3095-2012）的二级标准。</w:t>
            </w:r>
          </w:p>
          <w:p>
            <w:pPr>
              <w:autoSpaceDE/>
              <w:autoSpaceDN/>
              <w:spacing w:line="360" w:lineRule="auto"/>
              <w:jc w:val="both"/>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2、水环境质量现状评价</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（1）地表水</w:t>
            </w:r>
          </w:p>
          <w:p>
            <w:pPr>
              <w:keepNext w:val="0"/>
              <w:keepLines w:val="0"/>
              <w:pageBreakBefore w:val="0"/>
              <w:widowControl w:val="0"/>
              <w:kinsoku/>
              <w:wordWrap/>
              <w:overflowPunct/>
              <w:topLinePunct w:val="0"/>
              <w:autoSpaceDE/>
              <w:autoSpaceDN/>
              <w:bidi w:val="0"/>
              <w:adjustRightInd/>
              <w:snapToGrid/>
              <w:spacing w:before="120" w:beforeLines="50" w:line="360" w:lineRule="auto"/>
              <w:ind w:firstLine="420" w:firstLineChars="20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w:t>
            </w:r>
            <w:r>
              <w:rPr>
                <w:rFonts w:hint="eastAsia" w:ascii="Times New Roman" w:hAnsi="Times New Roman" w:cs="Times New Roman"/>
                <w:color w:val="auto"/>
                <w:sz w:val="21"/>
                <w:szCs w:val="21"/>
                <w:highlight w:val="none"/>
                <w:lang w:eastAsia="zh-CN"/>
              </w:rPr>
              <w:t>生活区与</w:t>
            </w:r>
            <w:r>
              <w:rPr>
                <w:rFonts w:hint="eastAsia" w:ascii="Times New Roman" w:hAnsi="Times New Roman" w:cs="Times New Roman"/>
                <w:color w:val="auto"/>
                <w:spacing w:val="4"/>
                <w:kern w:val="2"/>
                <w:sz w:val="21"/>
                <w:szCs w:val="21"/>
                <w:highlight w:val="none"/>
                <w:lang w:val="en-US" w:eastAsia="zh-CN"/>
              </w:rPr>
              <w:t>新源县塔勒德镇阿克托别砖瓦用粘土矿共用，</w:t>
            </w:r>
            <w:r>
              <w:rPr>
                <w:rFonts w:hint="default" w:ascii="Times New Roman" w:hAnsi="Times New Roman" w:eastAsia="宋体" w:cs="Times New Roman"/>
                <w:color w:val="auto"/>
                <w:sz w:val="21"/>
                <w:szCs w:val="21"/>
                <w:highlight w:val="none"/>
                <w:lang w:eastAsia="zh-CN"/>
              </w:rPr>
              <w:t>生活污水</w:t>
            </w:r>
            <w:r>
              <w:rPr>
                <w:rFonts w:hint="eastAsia" w:ascii="Times New Roman" w:hAnsi="Times New Roman" w:eastAsia="宋体" w:cs="Times New Roman"/>
                <w:color w:val="auto"/>
                <w:sz w:val="21"/>
                <w:szCs w:val="21"/>
                <w:highlight w:val="none"/>
                <w:lang w:eastAsia="zh-CN"/>
              </w:rPr>
              <w:t>排入</w:t>
            </w:r>
            <w:r>
              <w:rPr>
                <w:rFonts w:hint="default" w:ascii="Times New Roman" w:hAnsi="Times New Roman" w:eastAsia="宋体" w:cs="Times New Roman"/>
                <w:color w:val="auto"/>
                <w:sz w:val="21"/>
                <w:szCs w:val="21"/>
                <w:highlight w:val="none"/>
                <w:lang w:eastAsia="zh-CN"/>
              </w:rPr>
              <w:t>防渗化粪池收集，项目评价范围内无地表水体，根据《环境影响评价技术导则  地表水环境》（HJ 2.3-2018）中的要求进行识别判断，评价等级为三级B，本项目不开展建设项目及区域水污染源调查及预测，不开展地表水环境影响评价。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（2）地下水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根据《环境影响评价技术导则  地下水环境》（HJ 610-2016）附录A可知，项目属于“J 非金属矿采选及制品制造”中的“54 土砂石开采”，属于Ⅳ类项目，不开展地下水环境影响评价。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3、声环境质量现状评价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根据《建设项目环境影响报告表编制技术指南（生态影响类）（试行）》的相关要求，生态影响类建设项目声环境质量现状监测参照《建设项目环境影响报告表编制技术指南（污染影响类）（试行）》相关规定执行，本项目厂界外周边50m范围内无声环境保护目标，因此，本项目不开展声环境质量现状监测及评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4、土壤环境质量现状评价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（1）土壤环境影响评价等级</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根据《环境影响评价技术导则  土壤环境》（HJ 964-2018），项目所在地土壤环境影响敏感程度分为：敏感、较敏感、不敏感，敏感程度判别依据详见表</w:t>
            </w:r>
            <w:r>
              <w:rPr>
                <w:rFonts w:hint="default" w:ascii="Times New Roman" w:hAnsi="Times New Roman" w:eastAsia="宋体" w:cs="Times New Roman"/>
                <w:color w:val="auto"/>
                <w:sz w:val="21"/>
                <w:szCs w:val="21"/>
                <w:highlight w:val="none"/>
                <w:lang w:val="en-US" w:eastAsia="zh-CN"/>
              </w:rPr>
              <w:t>3-3</w:t>
            </w:r>
            <w:r>
              <w:rPr>
                <w:rFonts w:hint="default" w:ascii="Times New Roman" w:hAnsi="Times New Roman" w:eastAsia="宋体" w:cs="Times New Roman"/>
                <w:color w:val="auto"/>
                <w:sz w:val="21"/>
                <w:szCs w:val="21"/>
                <w:highlight w:val="none"/>
                <w:lang w:eastAsia="zh-CN"/>
              </w:rPr>
              <w:t>，生态影响型项目评价等级划分见表</w:t>
            </w:r>
            <w:r>
              <w:rPr>
                <w:rFonts w:hint="default" w:ascii="Times New Roman" w:hAnsi="Times New Roman" w:eastAsia="宋体" w:cs="Times New Roman"/>
                <w:color w:val="auto"/>
                <w:sz w:val="21"/>
                <w:szCs w:val="21"/>
                <w:highlight w:val="none"/>
                <w:lang w:val="en-US" w:eastAsia="zh-CN"/>
              </w:rPr>
              <w:t>3-4</w:t>
            </w:r>
            <w:r>
              <w:rPr>
                <w:rFonts w:hint="default" w:ascii="Times New Roman" w:hAnsi="Times New Roman" w:eastAsia="宋体" w:cs="Times New Roman"/>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表</w:t>
            </w:r>
            <w:r>
              <w:rPr>
                <w:rFonts w:hint="default" w:ascii="Times New Roman" w:hAnsi="Times New Roman" w:eastAsia="宋体" w:cs="Times New Roman"/>
                <w:b/>
                <w:bCs/>
                <w:color w:val="auto"/>
                <w:sz w:val="21"/>
                <w:szCs w:val="21"/>
                <w:highlight w:val="none"/>
                <w:lang w:val="en-US" w:eastAsia="zh-CN"/>
              </w:rPr>
              <w:t>3-3</w:t>
            </w:r>
            <w:r>
              <w:rPr>
                <w:rFonts w:hint="default" w:ascii="Times New Roman" w:hAnsi="Times New Roman" w:eastAsia="宋体" w:cs="Times New Roman"/>
                <w:b/>
                <w:bCs/>
                <w:color w:val="auto"/>
                <w:sz w:val="21"/>
                <w:szCs w:val="21"/>
                <w:highlight w:val="none"/>
                <w:lang w:eastAsia="zh-CN"/>
              </w:rPr>
              <w:t xml:space="preserve">   </w:t>
            </w:r>
            <w:r>
              <w:rPr>
                <w:rFonts w:hint="default" w:ascii="Times New Roman" w:hAnsi="Times New Roman" w:eastAsia="宋体" w:cs="Times New Roman"/>
                <w:b/>
                <w:bCs/>
                <w:color w:val="auto"/>
                <w:sz w:val="21"/>
                <w:szCs w:val="21"/>
                <w:highlight w:val="none"/>
                <w:lang w:val="zh-CN" w:eastAsia="zh-CN"/>
              </w:rPr>
              <w:t>生态影响型项目敏感程度分级表</w:t>
            </w:r>
          </w:p>
          <w:tbl>
            <w:tblPr>
              <w:tblStyle w:val="14"/>
              <w:tblW w:w="8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4820"/>
              <w:gridCol w:w="141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敏感</w:t>
                  </w:r>
                </w:p>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程度</w:t>
                  </w:r>
                </w:p>
              </w:tc>
              <w:tc>
                <w:tcPr>
                  <w:tcW w:w="7678" w:type="dxa"/>
                  <w:gridSpan w:val="3"/>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判别依据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p>
              </w:tc>
              <w:tc>
                <w:tcPr>
                  <w:tcW w:w="4820" w:type="dxa"/>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盐化</w:t>
                  </w:r>
                </w:p>
              </w:tc>
              <w:tc>
                <w:tcPr>
                  <w:tcW w:w="1418" w:type="dxa"/>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酸化</w:t>
                  </w:r>
                </w:p>
              </w:tc>
              <w:tc>
                <w:tcPr>
                  <w:tcW w:w="1440" w:type="dxa"/>
                  <w:vAlign w:val="center"/>
                </w:tcPr>
                <w:p>
                  <w:pPr>
                    <w:widowControl/>
                    <w:autoSpaceDE/>
                    <w:autoSpaceDN/>
                    <w:jc w:val="center"/>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val="zh-CN" w:eastAsia="zh-CN"/>
                    </w:rPr>
                    <w:t>碱化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敏感</w:t>
                  </w:r>
                </w:p>
              </w:tc>
              <w:tc>
                <w:tcPr>
                  <w:tcW w:w="4820" w:type="dxa"/>
                  <w:vAlign w:val="center"/>
                </w:tcPr>
                <w:p>
                  <w:pPr>
                    <w:widowControl/>
                    <w:autoSpaceDE/>
                    <w:autoSpaceDN/>
                    <w:jc w:val="both"/>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建设项目所在地干燥度a＞2.5且常年地下水位平均埋深＜1.5m的地势平坦区域；或土壤含盐量＞4g/kg的区域</w:t>
                  </w:r>
                </w:p>
              </w:tc>
              <w:tc>
                <w:tcPr>
                  <w:tcW w:w="1418" w:type="dxa"/>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pH≤4.5</w:t>
                  </w:r>
                </w:p>
              </w:tc>
              <w:tc>
                <w:tcPr>
                  <w:tcW w:w="1440" w:type="dxa"/>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pH≥9.0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较敏感</w:t>
                  </w:r>
                </w:p>
              </w:tc>
              <w:tc>
                <w:tcPr>
                  <w:tcW w:w="4820" w:type="dxa"/>
                  <w:vAlign w:val="center"/>
                </w:tcPr>
                <w:p>
                  <w:pPr>
                    <w:widowControl/>
                    <w:autoSpaceDE/>
                    <w:autoSpaceDN/>
                    <w:jc w:val="both"/>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建设项目所在地干燥度＞2.5且常年地下水位平均埋深≥1.5m的，或1.8＜干燥度≤2.5且常年地下水位平均埋深＜1.8m的地势平坦区域；建设项目所在地干燥度＞2.5或常年地下水位平均埋深＜1.5m的平原区；或2g/kg＜土壤含盐量≤4g/kg的区域</w:t>
                  </w:r>
                </w:p>
              </w:tc>
              <w:tc>
                <w:tcPr>
                  <w:tcW w:w="1418" w:type="dxa"/>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4.5＜pH≤5.5</w:t>
                  </w:r>
                </w:p>
              </w:tc>
              <w:tc>
                <w:tcPr>
                  <w:tcW w:w="1440" w:type="dxa"/>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8.5≤pH＜9.0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不敏感</w:t>
                  </w:r>
                </w:p>
              </w:tc>
              <w:tc>
                <w:tcPr>
                  <w:tcW w:w="4820" w:type="dxa"/>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其他</w:t>
                  </w:r>
                </w:p>
              </w:tc>
              <w:tc>
                <w:tcPr>
                  <w:tcW w:w="2858" w:type="dxa"/>
                  <w:gridSpan w:val="2"/>
                  <w:vAlign w:val="center"/>
                </w:tcPr>
                <w:p>
                  <w:pPr>
                    <w:widowControl/>
                    <w:autoSpaceDE/>
                    <w:autoSpaceDN/>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5.5＜pH＜8.5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35" w:type="dxa"/>
                  <w:gridSpan w:val="4"/>
                  <w:vAlign w:val="center"/>
                </w:tcPr>
                <w:p>
                  <w:pPr>
                    <w:widowControl/>
                    <w:autoSpaceDE/>
                    <w:autoSpaceDN/>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a是指采用E601观测的多年平均水面蒸发量与降水量的比值，即蒸降比值。</w:t>
                  </w:r>
                </w:p>
              </w:tc>
            </w:tr>
          </w:tbl>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1"/>
                <w:szCs w:val="21"/>
                <w:highlight w:val="none"/>
                <w:lang w:val="zh-CN" w:eastAsia="zh-CN"/>
              </w:rPr>
            </w:pPr>
            <w:r>
              <w:rPr>
                <w:rFonts w:hint="default" w:ascii="Times New Roman" w:hAnsi="Times New Roman" w:eastAsia="宋体" w:cs="Times New Roman"/>
                <w:b/>
                <w:bCs/>
                <w:color w:val="auto"/>
                <w:sz w:val="21"/>
                <w:szCs w:val="21"/>
                <w:highlight w:val="none"/>
                <w:lang w:eastAsia="zh-CN"/>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272415</wp:posOffset>
                      </wp:positionV>
                      <wp:extent cx="1028700" cy="660400"/>
                      <wp:effectExtent l="2540" t="3810" r="16510" b="21590"/>
                      <wp:wrapNone/>
                      <wp:docPr id="1" name="自选图形 2"/>
                      <wp:cNvGraphicFramePr/>
                      <a:graphic xmlns:a="http://schemas.openxmlformats.org/drawingml/2006/main">
                        <a:graphicData uri="http://schemas.microsoft.com/office/word/2010/wordprocessingShape">
                          <wps:wsp>
                            <wps:cNvCnPr/>
                            <wps:spPr>
                              <a:xfrm flipH="1" flipV="1">
                                <a:off x="0" y="0"/>
                                <a:ext cx="1028700" cy="66040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x y;margin-left:49.2pt;margin-top:21.45pt;height:52pt;width:81pt;z-index:251659264;mso-width-relative:page;mso-height-relative:page;" filled="f" stroked="t" coordsize="21600,21600" o:gfxdata="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dk3KPXAAAA&#10;CQEAAA8AAAAAAAAAAQAgAAAAIgAAAGRycy9kb3ducmV2LnhtbFBLAQIUABQAAAAIAIdO4kD9RrGD&#10;5QEAAK4DAAAOAAAAAAAAAAEAIAAAACYBAABkcnMvZTJvRG9jLnhtbFBLBQYAAAAABgAGAFkBAAB9&#10;BQAAAAA=&#10;">
                      <v:fill on="f" focussize="0,0"/>
                      <v:stroke weight="0.5pt" color="#000000" joinstyle="round"/>
                      <v:imagedata o:title=""/>
                      <o:lock v:ext="edit" aspectratio="f"/>
                    </v:shape>
                  </w:pict>
                </mc:Fallback>
              </mc:AlternateContent>
            </w:r>
            <w:r>
              <w:rPr>
                <w:rFonts w:hint="default" w:ascii="Times New Roman" w:hAnsi="Times New Roman" w:eastAsia="宋体" w:cs="Times New Roman"/>
                <w:b/>
                <w:bCs/>
                <w:color w:val="auto"/>
                <w:sz w:val="21"/>
                <w:szCs w:val="21"/>
                <w:highlight w:val="none"/>
                <w:lang w:val="zh-CN" w:eastAsia="zh-CN"/>
              </w:rPr>
              <w:t>表</w:t>
            </w:r>
            <w:r>
              <w:rPr>
                <w:rFonts w:hint="default" w:ascii="Times New Roman" w:hAnsi="Times New Roman" w:eastAsia="宋体" w:cs="Times New Roman"/>
                <w:b/>
                <w:bCs/>
                <w:color w:val="auto"/>
                <w:sz w:val="21"/>
                <w:szCs w:val="21"/>
                <w:highlight w:val="none"/>
                <w:lang w:val="en-US" w:eastAsia="zh-CN"/>
              </w:rPr>
              <w:t>3-4</w:t>
            </w:r>
            <w:r>
              <w:rPr>
                <w:rFonts w:hint="default" w:ascii="Times New Roman" w:hAnsi="Times New Roman" w:eastAsia="宋体" w:cs="Times New Roman"/>
                <w:b/>
                <w:bCs/>
                <w:color w:val="auto"/>
                <w:sz w:val="21"/>
                <w:szCs w:val="21"/>
                <w:highlight w:val="none"/>
                <w:lang w:eastAsia="zh-CN"/>
              </w:rPr>
              <w:t xml:space="preserve">    </w:t>
            </w:r>
            <w:r>
              <w:rPr>
                <w:rFonts w:hint="default" w:ascii="Times New Roman" w:hAnsi="Times New Roman" w:eastAsia="宋体" w:cs="Times New Roman"/>
                <w:b/>
                <w:bCs/>
                <w:color w:val="auto"/>
                <w:sz w:val="21"/>
                <w:szCs w:val="21"/>
                <w:highlight w:val="none"/>
                <w:lang w:val="zh-CN" w:eastAsia="zh-CN"/>
              </w:rPr>
              <w:t>生态影响型项目评价工作等级划分表</w:t>
            </w:r>
          </w:p>
          <w:tbl>
            <w:tblPr>
              <w:tblStyle w:val="15"/>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1734"/>
              <w:gridCol w:w="2192"/>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2566" w:type="dxa"/>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298450</wp:posOffset>
                            </wp:positionV>
                            <wp:extent cx="1625600" cy="387350"/>
                            <wp:effectExtent l="1270" t="4445" r="11430" b="8255"/>
                            <wp:wrapNone/>
                            <wp:docPr id="3" name="自选图形 4"/>
                            <wp:cNvGraphicFramePr/>
                            <a:graphic xmlns:a="http://schemas.openxmlformats.org/drawingml/2006/main">
                              <a:graphicData uri="http://schemas.microsoft.com/office/word/2010/wordprocessingShape">
                                <wps:wsp>
                                  <wps:cNvCnPr/>
                                  <wps:spPr>
                                    <a:xfrm flipH="1" flipV="1">
                                      <a:off x="0" y="0"/>
                                      <a:ext cx="1625600" cy="38735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flip:x y;margin-left:-6.55pt;margin-top:23.5pt;height:30.5pt;width:128pt;z-index:251660288;mso-width-relative:page;mso-height-relative:page;" filled="f" stroked="t" coordsize="21600,21600" o:gfxdata="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A&#10;b8uv2AAAAAoBAAAPAAAAAAAAAAEAIAAAACIAAABkcnMvZG93bnJldi54bWxQSwECFAAUAAAACACH&#10;TuJAUDe65+sBAACuAwAADgAAAAAAAAABACAAAAAnAQAAZHJzL2Uyb0RvYy54bWxQSwUGAAAAAAYA&#10;BgBZAQAAhAUAAAAA&#10;">
                            <v:fill on="f" focussize="0,0"/>
                            <v:stroke weight="0.5pt" color="#000000" joinstyle="round"/>
                            <v:imagedata o:title=""/>
                            <o:lock v:ext="edit" aspectratio="f"/>
                          </v:shape>
                        </w:pict>
                      </mc:Fallback>
                    </mc:AlternateContent>
                  </w:r>
                  <w:r>
                    <w:rPr>
                      <w:rFonts w:hint="default" w:ascii="Times New Roman" w:hAnsi="Times New Roman" w:eastAsia="宋体" w:cs="Times New Roman"/>
                      <w:b/>
                      <w:bCs/>
                      <w:color w:val="auto"/>
                      <w:sz w:val="21"/>
                      <w:szCs w:val="21"/>
                      <w:highlight w:val="none"/>
                      <w:lang w:eastAsia="zh-CN"/>
                    </w:rPr>
                    <w:t xml:space="preserve">             </w:t>
                  </w:r>
                  <w:r>
                    <w:rPr>
                      <w:rFonts w:hint="default"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bCs/>
                      <w:color w:val="auto"/>
                      <w:sz w:val="21"/>
                      <w:szCs w:val="21"/>
                      <w:highlight w:val="none"/>
                      <w:lang w:eastAsia="zh-CN"/>
                    </w:rPr>
                    <w:t>项目类别</w:t>
                  </w:r>
                </w:p>
                <w:p>
                  <w:pPr>
                    <w:jc w:val="both"/>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评价工作等级</w:t>
                  </w:r>
                </w:p>
                <w:p>
                  <w:pPr>
                    <w:rPr>
                      <w:rFonts w:hint="default" w:ascii="Times New Roman" w:hAnsi="Times New Roman" w:eastAsia="宋体" w:cs="Times New Roman"/>
                      <w:b/>
                      <w:bCs/>
                      <w:color w:val="auto"/>
                      <w:sz w:val="21"/>
                      <w:szCs w:val="21"/>
                      <w:highlight w:val="none"/>
                      <w:lang w:eastAsia="zh-CN"/>
                    </w:rPr>
                  </w:pPr>
                </w:p>
                <w:p>
                  <w:pP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敏感程度</w:t>
                  </w:r>
                </w:p>
              </w:tc>
              <w:tc>
                <w:tcPr>
                  <w:tcW w:w="1734" w:type="dxa"/>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I类</w:t>
                  </w:r>
                </w:p>
              </w:tc>
              <w:tc>
                <w:tcPr>
                  <w:tcW w:w="2192" w:type="dxa"/>
                  <w:vAlign w:val="center"/>
                </w:tcPr>
                <w:p>
                  <w:pPr>
                    <w:jc w:val="center"/>
                    <w:rPr>
                      <w:rFonts w:hint="default"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Ⅱ类</w:t>
                  </w:r>
                </w:p>
              </w:tc>
              <w:tc>
                <w:tcPr>
                  <w:tcW w:w="2194" w:type="dxa"/>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III类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6"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敏感</w:t>
                  </w:r>
                </w:p>
              </w:tc>
              <w:tc>
                <w:tcPr>
                  <w:tcW w:w="1734"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一级</w:t>
                  </w:r>
                </w:p>
              </w:tc>
              <w:tc>
                <w:tcPr>
                  <w:tcW w:w="2192"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二级</w:t>
                  </w:r>
                </w:p>
              </w:tc>
              <w:tc>
                <w:tcPr>
                  <w:tcW w:w="2194"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6"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较敏感</w:t>
                  </w:r>
                </w:p>
              </w:tc>
              <w:tc>
                <w:tcPr>
                  <w:tcW w:w="1734"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二级</w:t>
                  </w:r>
                </w:p>
              </w:tc>
              <w:tc>
                <w:tcPr>
                  <w:tcW w:w="2192"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二级</w:t>
                  </w:r>
                </w:p>
              </w:tc>
              <w:tc>
                <w:tcPr>
                  <w:tcW w:w="2194"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6"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不敏感</w:t>
                  </w:r>
                </w:p>
              </w:tc>
              <w:tc>
                <w:tcPr>
                  <w:tcW w:w="1734"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二级</w:t>
                  </w:r>
                </w:p>
              </w:tc>
              <w:tc>
                <w:tcPr>
                  <w:tcW w:w="2192"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三级</w:t>
                  </w:r>
                </w:p>
              </w:tc>
              <w:tc>
                <w:tcPr>
                  <w:tcW w:w="2194"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6" w:type="dxa"/>
                  <w:gridSpan w:val="4"/>
                  <w:vAlign w:val="center"/>
                </w:tcPr>
                <w:p>
                  <w:pP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注：“—”表示可不开展土壤环境影响评价工作。</w:t>
                  </w:r>
                </w:p>
              </w:tc>
            </w:tr>
          </w:tbl>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根据</w:t>
            </w:r>
            <w:r>
              <w:rPr>
                <w:rStyle w:val="13"/>
                <w:rFonts w:hint="eastAsia" w:ascii="Times New Roman" w:hAnsi="Times New Roman" w:eastAsia="宋体" w:cs="Times New Roman"/>
                <w:color w:val="auto"/>
                <w:sz w:val="21"/>
                <w:szCs w:val="21"/>
                <w:highlight w:val="none"/>
                <w:u w:val="none"/>
                <w:lang w:eastAsia="zh-CN"/>
              </w:rPr>
              <w:t>新疆</w:t>
            </w:r>
            <w:r>
              <w:rPr>
                <w:rStyle w:val="13"/>
                <w:rFonts w:hint="eastAsia" w:ascii="Times New Roman" w:hAnsi="Times New Roman" w:eastAsia="宋体" w:cs="Times New Roman"/>
                <w:color w:val="auto"/>
                <w:sz w:val="21"/>
                <w:szCs w:val="21"/>
                <w:highlight w:val="none"/>
                <w:u w:val="none"/>
                <w:lang w:val="en-US" w:eastAsia="zh-CN"/>
              </w:rPr>
              <w:t>锡水金山环境科技</w:t>
            </w:r>
            <w:r>
              <w:rPr>
                <w:rStyle w:val="13"/>
                <w:rFonts w:hint="eastAsia" w:ascii="Times New Roman" w:hAnsi="Times New Roman" w:eastAsia="宋体" w:cs="Times New Roman"/>
                <w:color w:val="auto"/>
                <w:sz w:val="21"/>
                <w:szCs w:val="21"/>
                <w:highlight w:val="none"/>
                <w:u w:val="none"/>
                <w:lang w:eastAsia="zh-CN"/>
              </w:rPr>
              <w:t>有</w:t>
            </w:r>
            <w:r>
              <w:rPr>
                <w:rFonts w:hint="default" w:ascii="Times New Roman" w:hAnsi="Times New Roman" w:eastAsia="宋体" w:cs="Times New Roman"/>
                <w:color w:val="auto"/>
                <w:sz w:val="21"/>
                <w:szCs w:val="21"/>
                <w:highlight w:val="none"/>
                <w:lang w:eastAsia="zh-CN"/>
              </w:rPr>
              <w:t>限公司对项目区内部和周边土壤的pH、含盐量的检测数据（采样日期：202</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eastAsia="zh-CN"/>
              </w:rPr>
              <w:t>年</w:t>
            </w:r>
            <w:r>
              <w:rPr>
                <w:rFonts w:hint="eastAsia" w:ascii="Times New Roman" w:hAnsi="Times New Roman" w:cs="Times New Roman"/>
                <w:color w:val="auto"/>
                <w:sz w:val="21"/>
                <w:szCs w:val="21"/>
                <w:highlight w:val="none"/>
                <w:lang w:val="en-US" w:eastAsia="zh-CN"/>
              </w:rPr>
              <w:t>8</w:t>
            </w:r>
            <w:r>
              <w:rPr>
                <w:rFonts w:hint="default" w:ascii="Times New Roman" w:hAnsi="Times New Roman" w:eastAsia="宋体" w:cs="Times New Roman"/>
                <w:color w:val="auto"/>
                <w:sz w:val="21"/>
                <w:szCs w:val="21"/>
                <w:highlight w:val="none"/>
                <w:lang w:eastAsia="zh-CN"/>
              </w:rPr>
              <w:t>月</w:t>
            </w:r>
            <w:r>
              <w:rPr>
                <w:rFonts w:hint="eastAsia" w:ascii="Times New Roman" w:hAnsi="Times New Roman" w:cs="Times New Roman"/>
                <w:color w:val="auto"/>
                <w:sz w:val="21"/>
                <w:szCs w:val="21"/>
                <w:highlight w:val="none"/>
                <w:lang w:val="en-US" w:eastAsia="zh-CN"/>
              </w:rPr>
              <w:t>31</w:t>
            </w:r>
            <w:r>
              <w:rPr>
                <w:rFonts w:hint="default" w:ascii="Times New Roman" w:hAnsi="Times New Roman" w:eastAsia="宋体" w:cs="Times New Roman"/>
                <w:color w:val="auto"/>
                <w:sz w:val="21"/>
                <w:szCs w:val="21"/>
                <w:highlight w:val="none"/>
                <w:lang w:eastAsia="zh-CN"/>
              </w:rPr>
              <w:t>日；分析日期：202</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eastAsia="zh-CN"/>
              </w:rPr>
              <w:t>年</w:t>
            </w:r>
            <w:r>
              <w:rPr>
                <w:rFonts w:hint="eastAsia" w:ascii="Times New Roman" w:hAnsi="Times New Roman"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lang w:eastAsia="zh-CN"/>
              </w:rPr>
              <w:t>月</w:t>
            </w:r>
            <w:r>
              <w:rPr>
                <w:rFonts w:hint="eastAsia"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eastAsia="zh-CN"/>
              </w:rPr>
              <w:t>日</w:t>
            </w:r>
            <w:r>
              <w:rPr>
                <w:rFonts w:hint="default" w:ascii="Times New Roman" w:hAnsi="Times New Roman" w:eastAsia="宋体" w:cs="Times New Roman"/>
                <w:color w:val="auto"/>
                <w:sz w:val="21"/>
                <w:szCs w:val="21"/>
                <w:highlight w:val="none"/>
                <w:lang w:val="en-US" w:eastAsia="zh-CN"/>
              </w:rPr>
              <w:t>-2日</w:t>
            </w:r>
            <w:r>
              <w:rPr>
                <w:rFonts w:hint="default" w:ascii="Times New Roman" w:hAnsi="Times New Roman" w:eastAsia="宋体" w:cs="Times New Roman"/>
                <w:color w:val="auto"/>
                <w:sz w:val="21"/>
                <w:szCs w:val="21"/>
                <w:highlight w:val="none"/>
                <w:lang w:eastAsia="zh-CN"/>
              </w:rPr>
              <w:t>），土壤的pH为：</w:t>
            </w:r>
            <w:r>
              <w:rPr>
                <w:rFonts w:hint="default" w:ascii="Times New Roman" w:hAnsi="Times New Roman" w:eastAsia="宋体" w:cs="Times New Roman"/>
                <w:color w:val="auto"/>
                <w:sz w:val="21"/>
                <w:szCs w:val="21"/>
                <w:highlight w:val="none"/>
                <w:lang w:val="en-US" w:eastAsia="zh-CN"/>
              </w:rPr>
              <w:t>7.</w:t>
            </w:r>
            <w:r>
              <w:rPr>
                <w:rFonts w:hint="eastAsia" w:ascii="Times New Roman" w:hAnsi="Times New Roman"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lang w:eastAsia="zh-CN"/>
              </w:rPr>
              <w:t>，含盐量为：</w:t>
            </w:r>
            <w:r>
              <w:rPr>
                <w:rFonts w:hint="eastAsia" w:ascii="Times New Roman" w:hAnsi="Times New Roman" w:cs="Times New Roman"/>
                <w:color w:val="auto"/>
                <w:sz w:val="21"/>
                <w:szCs w:val="21"/>
                <w:highlight w:val="none"/>
                <w:lang w:val="en-US" w:eastAsia="zh-CN"/>
              </w:rPr>
              <w:t>1.9</w:t>
            </w:r>
            <w:r>
              <w:rPr>
                <w:rFonts w:hint="default" w:ascii="Times New Roman" w:hAnsi="Times New Roman" w:eastAsia="宋体" w:cs="Times New Roman"/>
                <w:color w:val="auto"/>
                <w:sz w:val="21"/>
                <w:szCs w:val="21"/>
                <w:highlight w:val="none"/>
                <w:lang w:eastAsia="zh-CN"/>
              </w:rPr>
              <w:t>g/kg，项目所在区域土壤敏感程度为“不敏感”；根据《环境影响评价技术导则  土壤环境》（HJ964-2018）的附录A判定，项目属于</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eastAsia="zh-CN"/>
              </w:rPr>
              <w:t>采矿业</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eastAsia="zh-CN"/>
              </w:rPr>
              <w:t>中的</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eastAsia="zh-CN"/>
              </w:rPr>
              <w:t>其他</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eastAsia="zh-CN"/>
              </w:rPr>
              <w:t>类，列入III类项目。因此，项目可不开展土壤环境影响评价工作。</w:t>
            </w:r>
          </w:p>
          <w:p>
            <w:pPr>
              <w:autoSpaceDE/>
              <w:autoSpaceDN/>
              <w:spacing w:line="360" w:lineRule="auto"/>
              <w:jc w:val="both"/>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5、生态现状调查</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（1）生态功能区划</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依据《新疆生态环境功能区划》，项目所在地新源县生态功能区划见表</w:t>
            </w:r>
            <w:r>
              <w:rPr>
                <w:rFonts w:hint="default" w:ascii="Times New Roman" w:hAnsi="Times New Roman" w:eastAsia="宋体" w:cs="Times New Roman"/>
                <w:color w:val="auto"/>
                <w:sz w:val="21"/>
                <w:szCs w:val="21"/>
                <w:highlight w:val="none"/>
                <w:lang w:val="en-US" w:eastAsia="zh-CN"/>
              </w:rPr>
              <w:t>3-5</w:t>
            </w:r>
            <w:r>
              <w:rPr>
                <w:rFonts w:hint="default" w:ascii="Times New Roman" w:hAnsi="Times New Roman" w:eastAsia="宋体" w:cs="Times New Roman"/>
                <w:color w:val="auto"/>
                <w:sz w:val="21"/>
                <w:szCs w:val="21"/>
                <w:highlight w:val="none"/>
                <w:lang w:eastAsia="zh-CN"/>
              </w:rPr>
              <w:t>。</w:t>
            </w:r>
          </w:p>
          <w:p>
            <w:pPr>
              <w:autoSpaceDE/>
              <w:autoSpaceDN/>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表</w:t>
            </w:r>
            <w:r>
              <w:rPr>
                <w:rFonts w:hint="default" w:ascii="Times New Roman" w:hAnsi="Times New Roman" w:eastAsia="宋体" w:cs="Times New Roman"/>
                <w:b/>
                <w:bCs/>
                <w:color w:val="auto"/>
                <w:sz w:val="21"/>
                <w:szCs w:val="21"/>
                <w:highlight w:val="none"/>
                <w:lang w:val="en-US" w:eastAsia="zh-CN"/>
              </w:rPr>
              <w:t>3-5</w:t>
            </w:r>
            <w:r>
              <w:rPr>
                <w:rFonts w:hint="default" w:ascii="Times New Roman" w:hAnsi="Times New Roman" w:eastAsia="宋体" w:cs="Times New Roman"/>
                <w:b/>
                <w:bCs/>
                <w:color w:val="auto"/>
                <w:sz w:val="21"/>
                <w:szCs w:val="21"/>
                <w:highlight w:val="none"/>
                <w:lang w:eastAsia="zh-CN"/>
              </w:rPr>
              <w:t xml:space="preserve">    新源县生态功能区划</w:t>
            </w:r>
          </w:p>
          <w:tbl>
            <w:tblPr>
              <w:tblStyle w:val="14"/>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940" w:type="dxa"/>
                  <w:vAlign w:val="center"/>
                </w:tcPr>
                <w:p>
                  <w:pPr>
                    <w:pStyle w:val="2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生态区</w:t>
                  </w:r>
                </w:p>
              </w:tc>
              <w:tc>
                <w:tcPr>
                  <w:tcW w:w="6730" w:type="dxa"/>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Ⅲ、天山山地温性草原、森林生态区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生态亚区</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Ⅲ2、西部天山草</w:t>
                  </w:r>
                  <w:r>
                    <w:rPr>
                      <w:rFonts w:hint="eastAsia" w:ascii="Times New Roman" w:hAnsi="Times New Roman" w:cs="Times New Roman"/>
                      <w:color w:val="auto"/>
                      <w:sz w:val="21"/>
                      <w:szCs w:val="21"/>
                      <w:highlight w:val="none"/>
                      <w:lang w:eastAsia="zh-CN"/>
                    </w:rPr>
                    <w:t>原</w:t>
                  </w:r>
                  <w:r>
                    <w:rPr>
                      <w:rFonts w:hint="default" w:ascii="Times New Roman" w:hAnsi="Times New Roman" w:eastAsia="宋体" w:cs="Times New Roman"/>
                      <w:color w:val="auto"/>
                      <w:sz w:val="21"/>
                      <w:szCs w:val="21"/>
                      <w:highlight w:val="none"/>
                      <w:lang w:eastAsia="zh-CN"/>
                    </w:rPr>
                    <w:t>、针叶林水源涵养及</w:t>
                  </w:r>
                  <w:r>
                    <w:rPr>
                      <w:rFonts w:hint="eastAsia" w:ascii="Times New Roman" w:hAnsi="Times New Roman" w:cs="Times New Roman"/>
                      <w:color w:val="auto"/>
                      <w:sz w:val="21"/>
                      <w:szCs w:val="21"/>
                      <w:highlight w:val="none"/>
                      <w:lang w:eastAsia="zh-CN"/>
                    </w:rPr>
                    <w:t>伊犁</w:t>
                  </w:r>
                  <w:r>
                    <w:rPr>
                      <w:rFonts w:hint="default" w:ascii="Times New Roman" w:hAnsi="Times New Roman" w:eastAsia="宋体" w:cs="Times New Roman"/>
                      <w:color w:val="auto"/>
                      <w:sz w:val="21"/>
                      <w:szCs w:val="21"/>
                      <w:highlight w:val="none"/>
                      <w:lang w:eastAsia="zh-CN"/>
                    </w:rPr>
                    <w:t>河谷绿洲生态亚区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生态功能区</w:t>
                  </w:r>
                </w:p>
              </w:tc>
              <w:tc>
                <w:tcPr>
                  <w:tcW w:w="6730" w:type="dxa"/>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3</w:t>
                  </w:r>
                  <w:r>
                    <w:rPr>
                      <w:rFonts w:hint="eastAsia" w:ascii="Times New Roman" w:hAnsi="Times New Roman" w:cs="Times New Roman"/>
                      <w:color w:val="auto"/>
                      <w:sz w:val="21"/>
                      <w:szCs w:val="21"/>
                      <w:highlight w:val="none"/>
                      <w:lang w:val="en-US" w:eastAsia="zh-CN"/>
                    </w:rPr>
                    <w:t>7、喀什河、巩乃斯河河谷草原-绿洲生物多样性保护生态功能区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主要生态服务功能</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牧农产品生产、</w:t>
                  </w:r>
                  <w:r>
                    <w:rPr>
                      <w:rFonts w:hint="eastAsia" w:ascii="Times New Roman" w:hAnsi="Times New Roman" w:cs="Times New Roman"/>
                      <w:color w:val="auto"/>
                      <w:sz w:val="21"/>
                      <w:szCs w:val="21"/>
                      <w:highlight w:val="none"/>
                      <w:lang w:eastAsia="zh-CN"/>
                    </w:rPr>
                    <w:t>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主要生态环境问题</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水土流失、</w:t>
                  </w:r>
                  <w:r>
                    <w:rPr>
                      <w:rFonts w:hint="eastAsia" w:ascii="Times New Roman" w:hAnsi="Times New Roman" w:cs="Times New Roman"/>
                      <w:color w:val="auto"/>
                      <w:sz w:val="21"/>
                      <w:szCs w:val="21"/>
                      <w:highlight w:val="none"/>
                      <w:lang w:eastAsia="zh-CN"/>
                    </w:rPr>
                    <w:t>土地盐碱渍化、</w:t>
                  </w:r>
                  <w:r>
                    <w:rPr>
                      <w:rFonts w:hint="default" w:ascii="Times New Roman" w:hAnsi="Times New Roman" w:eastAsia="宋体" w:cs="Times New Roman"/>
                      <w:color w:val="auto"/>
                      <w:sz w:val="21"/>
                      <w:szCs w:val="21"/>
                      <w:highlight w:val="none"/>
                      <w:lang w:eastAsia="zh-CN"/>
                    </w:rPr>
                    <w:t>草地退化、</w:t>
                  </w:r>
                  <w:r>
                    <w:rPr>
                      <w:rFonts w:hint="eastAsia" w:ascii="Times New Roman" w:hAnsi="Times New Roman" w:cs="Times New Roman"/>
                      <w:color w:val="auto"/>
                      <w:sz w:val="21"/>
                      <w:szCs w:val="21"/>
                      <w:highlight w:val="none"/>
                      <w:lang w:eastAsia="zh-CN"/>
                    </w:rPr>
                    <w:t>河谷林破坏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主要生态敏感因子、敏感程度</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生物多样性及其生境</w:t>
                  </w:r>
                  <w:r>
                    <w:rPr>
                      <w:rFonts w:hint="eastAsia" w:ascii="Times New Roman" w:hAnsi="Times New Roman" w:cs="Times New Roman"/>
                      <w:color w:val="auto"/>
                      <w:sz w:val="21"/>
                      <w:szCs w:val="21"/>
                      <w:highlight w:val="none"/>
                      <w:lang w:eastAsia="zh-CN"/>
                    </w:rPr>
                    <w:t>极</w:t>
                  </w:r>
                  <w:r>
                    <w:rPr>
                      <w:rFonts w:hint="default" w:ascii="Times New Roman" w:hAnsi="Times New Roman" w:eastAsia="宋体" w:cs="Times New Roman"/>
                      <w:color w:val="auto"/>
                      <w:sz w:val="21"/>
                      <w:szCs w:val="21"/>
                      <w:highlight w:val="none"/>
                      <w:lang w:eastAsia="zh-CN"/>
                    </w:rPr>
                    <w:t>度敏感</w:t>
                  </w:r>
                  <w:r>
                    <w:rPr>
                      <w:rFonts w:hint="eastAsia" w:ascii="Times New Roman" w:hAnsi="Times New Roman" w:cs="Times New Roman"/>
                      <w:color w:val="auto"/>
                      <w:sz w:val="21"/>
                      <w:szCs w:val="21"/>
                      <w:highlight w:val="none"/>
                      <w:lang w:eastAsia="zh-CN"/>
                    </w:rPr>
                    <w:t>、中度敏感</w:t>
                  </w:r>
                  <w:r>
                    <w:rPr>
                      <w:rFonts w:hint="default" w:ascii="Times New Roman" w:hAnsi="Times New Roman" w:eastAsia="宋体" w:cs="Times New Roman"/>
                      <w:color w:val="auto"/>
                      <w:sz w:val="21"/>
                      <w:szCs w:val="21"/>
                      <w:highlight w:val="none"/>
                      <w:lang w:eastAsia="zh-CN"/>
                    </w:rPr>
                    <w:t>，土壤侵蚀</w:t>
                  </w:r>
                  <w:r>
                    <w:rPr>
                      <w:rFonts w:hint="eastAsia" w:ascii="Times New Roman" w:hAnsi="Times New Roman" w:cs="Times New Roman"/>
                      <w:color w:val="auto"/>
                      <w:sz w:val="21"/>
                      <w:szCs w:val="21"/>
                      <w:highlight w:val="none"/>
                      <w:lang w:eastAsia="zh-CN"/>
                    </w:rPr>
                    <w:t>、土地沙漠化、土壤盐渍化不敏感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主要保护目标</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保护河谷林</w:t>
                  </w:r>
                  <w:r>
                    <w:rPr>
                      <w:rFonts w:hint="eastAsia" w:ascii="Times New Roman" w:hAnsi="Times New Roman" w:cs="Times New Roman"/>
                      <w:color w:val="auto"/>
                      <w:sz w:val="21"/>
                      <w:szCs w:val="21"/>
                      <w:highlight w:val="none"/>
                      <w:lang w:eastAsia="zh-CN"/>
                    </w:rPr>
                    <w:t>、保护草原、</w:t>
                  </w:r>
                  <w:r>
                    <w:rPr>
                      <w:rFonts w:hint="default" w:ascii="Times New Roman" w:hAnsi="Times New Roman" w:eastAsia="宋体" w:cs="Times New Roman"/>
                      <w:color w:val="auto"/>
                      <w:sz w:val="21"/>
                      <w:szCs w:val="21"/>
                      <w:highlight w:val="none"/>
                      <w:lang w:eastAsia="zh-CN"/>
                    </w:rPr>
                    <w:t>保护</w:t>
                  </w:r>
                  <w:r>
                    <w:rPr>
                      <w:rFonts w:hint="eastAsia" w:ascii="Times New Roman" w:hAnsi="Times New Roman" w:cs="Times New Roman"/>
                      <w:color w:val="auto"/>
                      <w:sz w:val="21"/>
                      <w:szCs w:val="21"/>
                      <w:highlight w:val="none"/>
                      <w:lang w:eastAsia="zh-CN"/>
                    </w:rPr>
                    <w:t>农田</w:t>
                  </w:r>
                  <w:r>
                    <w:rPr>
                      <w:rFonts w:hint="default" w:ascii="Times New Roman" w:hAnsi="Times New Roman" w:eastAsia="宋体" w:cs="Times New Roman"/>
                      <w:color w:val="auto"/>
                      <w:sz w:val="21"/>
                      <w:szCs w:val="21"/>
                      <w:highlight w:val="none"/>
                      <w:lang w:eastAsia="zh-CN"/>
                    </w:rPr>
                    <w:t>、保护</w:t>
                  </w:r>
                  <w:r>
                    <w:rPr>
                      <w:rFonts w:hint="eastAsia" w:ascii="Times New Roman" w:hAnsi="Times New Roman" w:cs="Times New Roman"/>
                      <w:color w:val="auto"/>
                      <w:sz w:val="21"/>
                      <w:szCs w:val="21"/>
                      <w:highlight w:val="none"/>
                      <w:lang w:eastAsia="zh-CN"/>
                    </w:rPr>
                    <w:t>小叶白蜡等珍稀树种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主要保护措施</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旱地退耕还草、防止水土流失、健全排灌系统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适宜发展方向</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搞好水能开发与建设，建立以牧为主，牧农结合的新型牧农业基地</w:t>
                  </w:r>
                </w:p>
              </w:tc>
            </w:tr>
          </w:tbl>
          <w:p>
            <w:pPr>
              <w:autoSpaceDE/>
              <w:autoSpaceDN/>
              <w:spacing w:before="120" w:beforeLines="50"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（2）项目区生态现状调查</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①气象</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新源县属大陆性半干旱气候，冬暖夏凉，山地气候特点明显。新源县逆温带范围大，逆温持续时间长。逆温带分布在海拔800</w:t>
            </w:r>
            <w:r>
              <w:rPr>
                <w:rFonts w:hint="eastAsia"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2000m之间，海拔950</w:t>
            </w:r>
            <w:r>
              <w:rPr>
                <w:rFonts w:hint="eastAsia"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1200m间逆温强度最大。新源县气候温凉、降水多，年均降水量476mm，年均气温6.0℃~9.3℃，极端最高气温41.5.8℃，</w:t>
            </w:r>
            <w:r>
              <w:rPr>
                <w:rFonts w:hint="eastAsia" w:ascii="Times New Roman" w:hAnsi="Times New Roman" w:cs="Times New Roman"/>
                <w:color w:val="auto"/>
                <w:sz w:val="21"/>
                <w:szCs w:val="21"/>
                <w:highlight w:val="none"/>
                <w:lang w:val="en-US" w:eastAsia="zh-CN"/>
              </w:rPr>
              <w:t>极端</w:t>
            </w:r>
            <w:r>
              <w:rPr>
                <w:rFonts w:hint="default" w:ascii="Times New Roman" w:hAnsi="Times New Roman" w:eastAsia="宋体" w:cs="Times New Roman"/>
                <w:color w:val="auto"/>
                <w:sz w:val="21"/>
                <w:szCs w:val="21"/>
                <w:highlight w:val="none"/>
                <w:lang w:val="en-US" w:eastAsia="zh-CN"/>
              </w:rPr>
              <w:t>最低气温-34.7℃，年平均日照时数2693.5h，无霜期140</w:t>
            </w:r>
            <w:r>
              <w:rPr>
                <w:rFonts w:hint="eastAsia"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180d，年平均蒸发量1285.8mm，风向多以西风及西南风为主。自然灾害有干热风、大风、雪灾、霜冻、冰雹等。</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②水文</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矿区属大陆性半干旱气候区，平均年降476mm，年蒸发量1285.8mm。矿区内仅出露第四系上更新统风成堆积层（Q3eol）：主要为黄土及亚砂土。松散，干燥，</w:t>
            </w:r>
            <w:r>
              <w:rPr>
                <w:rFonts w:hint="eastAsia" w:ascii="Times New Roman" w:hAnsi="Times New Roman" w:cs="Times New Roman"/>
                <w:color w:val="auto"/>
                <w:sz w:val="21"/>
                <w:szCs w:val="21"/>
                <w:highlight w:val="none"/>
                <w:lang w:val="en-US" w:eastAsia="zh-CN"/>
              </w:rPr>
              <w:t>孔隙</w:t>
            </w:r>
            <w:r>
              <w:rPr>
                <w:rFonts w:hint="default" w:ascii="Times New Roman" w:hAnsi="Times New Roman" w:eastAsia="宋体" w:cs="Times New Roman"/>
                <w:color w:val="auto"/>
                <w:sz w:val="21"/>
                <w:szCs w:val="21"/>
                <w:highlight w:val="none"/>
                <w:lang w:val="en-US" w:eastAsia="zh-CN"/>
              </w:rPr>
              <w:t>发育。为透水不含水层。矿区及周边无地表水体及长年性地表水流，未见地下水露头，构造条件简单。地下水主要补给源主要为大气降水，冰雪消融水的补给。地下水接受降水和冰雪融水渗入补给后，沿岩石裂隙从高处向低处经过短途径流，在河谷低洼处</w:t>
            </w:r>
            <w:r>
              <w:rPr>
                <w:rFonts w:hint="eastAsia" w:ascii="Times New Roman" w:hAnsi="Times New Roman" w:cs="Times New Roman"/>
                <w:color w:val="auto"/>
                <w:sz w:val="21"/>
                <w:szCs w:val="21"/>
                <w:highlight w:val="none"/>
                <w:lang w:val="en-US" w:eastAsia="zh-CN"/>
              </w:rPr>
              <w:t>或其他</w:t>
            </w:r>
            <w:r>
              <w:rPr>
                <w:rFonts w:hint="default" w:ascii="Times New Roman" w:hAnsi="Times New Roman" w:eastAsia="宋体" w:cs="Times New Roman"/>
                <w:color w:val="auto"/>
                <w:sz w:val="21"/>
                <w:szCs w:val="21"/>
                <w:highlight w:val="none"/>
                <w:lang w:val="en-US" w:eastAsia="zh-CN"/>
              </w:rPr>
              <w:t xml:space="preserve">适当部位以泉的形式排泄于地表，或以蒸发的形式进行垂直排泄。根据附近矿山调查，地下水埋深大于50m。位于矿区最低标高963 m以下。 </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综上所述，矿区水文地质条件简单。</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③地形地貌</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矿区位于新源县西部，地势整体呈西北高，东南低。</w:t>
            </w:r>
            <w:r>
              <w:rPr>
                <w:rFonts w:hint="eastAsia" w:ascii="Times New Roman" w:hAnsi="Times New Roman" w:cs="Times New Roman"/>
                <w:color w:val="auto"/>
                <w:sz w:val="21"/>
                <w:szCs w:val="21"/>
                <w:highlight w:val="none"/>
                <w:lang w:val="en-US" w:eastAsia="zh-CN"/>
              </w:rPr>
              <w:t>海拔</w:t>
            </w:r>
            <w:r>
              <w:rPr>
                <w:rFonts w:hint="default" w:ascii="Times New Roman" w:hAnsi="Times New Roman" w:eastAsia="宋体" w:cs="Times New Roman"/>
                <w:color w:val="auto"/>
                <w:sz w:val="21"/>
                <w:szCs w:val="21"/>
                <w:highlight w:val="none"/>
                <w:lang w:val="en-US" w:eastAsia="zh-CN"/>
              </w:rPr>
              <w:t>963</w:t>
            </w:r>
            <w:r>
              <w:rPr>
                <w:rFonts w:hint="eastAsia"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991m，相对高差28 m。矿区内均为第四系覆盖区，植被发育，为草地。</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④植被、动物</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矿区内植被发育，为草地。为亚高山草甸植物，主要为禾草、嵩草、苔草等。</w:t>
            </w:r>
            <w:r>
              <w:rPr>
                <w:rFonts w:hint="default" w:ascii="Times New Roman" w:hAnsi="Times New Roman" w:eastAsia="宋体" w:cs="Times New Roman"/>
                <w:color w:val="auto"/>
                <w:sz w:val="21"/>
                <w:szCs w:val="21"/>
                <w:highlight w:val="none"/>
                <w:lang w:eastAsia="zh-CN"/>
              </w:rPr>
              <w:t>动物主要是一些常见种类，兽类有野兔和鼠类，爬行类主要有沙蜥；鸟类主要有麻雀、喜鹊等常见种，没有国家级保护动物及珍稀濒危保护动物。</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⑤土壤</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矿区土壤类型单一，为高山草甸，母质多为冲洪积物</w:t>
            </w:r>
            <w:r>
              <w:rPr>
                <w:rFonts w:hint="eastAsia" w:ascii="Times New Roman" w:hAnsi="Times New Roman" w:cs="Times New Roman"/>
                <w:color w:val="auto"/>
                <w:sz w:val="21"/>
                <w:szCs w:val="21"/>
                <w:highlight w:val="none"/>
                <w:lang w:val="en-US" w:eastAsia="zh-CN"/>
              </w:rPr>
              <w:t>，厚度约为0.3m</w:t>
            </w:r>
            <w:r>
              <w:rPr>
                <w:rFonts w:hint="default" w:ascii="Times New Roman" w:hAnsi="Times New Roman" w:eastAsia="宋体" w:cs="Times New Roman"/>
                <w:color w:val="auto"/>
                <w:sz w:val="21"/>
                <w:szCs w:val="21"/>
                <w:highlight w:val="none"/>
                <w:lang w:val="en-US" w:eastAsia="zh-CN"/>
              </w:rPr>
              <w:t>。</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本次生态现状调查，项目影响范围内无国家和地方重点保护文物古迹及珍贵动植物，无自然保护区、风景名胜区、水源保护区等敏感区。</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 xml:space="preserve">    ⑥矿区地质环境背景</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（一）地层岩性</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矿区内出露地层简单，由第四系上更新统风成堆积层（Q3eol）组成，主要为黄土及亚砂土。近水平产出，厚度稳定。矿区内未发现侵入岩和喷出岩。 </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（二）地质构造 </w:t>
            </w:r>
          </w:p>
          <w:p>
            <w:pPr>
              <w:autoSpaceDE/>
              <w:autoSpaceDN/>
              <w:spacing w:line="360" w:lineRule="auto"/>
              <w:ind w:firstLine="420" w:firstLineChars="20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矿</w:t>
            </w:r>
            <w:r>
              <w:rPr>
                <w:rFonts w:hint="eastAsia" w:ascii="Times New Roman" w:hAnsi="Times New Roman" w:cs="Times New Roman"/>
                <w:color w:val="auto"/>
                <w:sz w:val="21"/>
                <w:szCs w:val="21"/>
                <w:highlight w:val="none"/>
                <w:lang w:val="en-US" w:eastAsia="zh-CN"/>
              </w:rPr>
              <w:t>区</w:t>
            </w:r>
            <w:r>
              <w:rPr>
                <w:rFonts w:hint="default" w:ascii="Times New Roman" w:hAnsi="Times New Roman" w:eastAsia="宋体" w:cs="Times New Roman"/>
                <w:color w:val="auto"/>
                <w:sz w:val="21"/>
                <w:szCs w:val="21"/>
                <w:highlight w:val="none"/>
                <w:lang w:val="en-US" w:eastAsia="zh-CN"/>
              </w:rPr>
              <w:t>大地构造上位于哈萨克斯坦板块伊犁微地块，三级构造单元属伊犁中央地块。 矿区地表出露第四系上更新统风成堆积层，呈近水平状产出，未见其他露头，未见新构造运动痕迹。根据《中国地震动参数区划图》（GB18306-2015），矿区地震动加速反应周期为0.45s，地震动峰值加速度为0.20g，场地类别为Ⅱ类。按照Ⅱ类场地</w:t>
            </w:r>
            <w:r>
              <w:rPr>
                <w:rFonts w:hint="eastAsia" w:ascii="Times New Roman" w:hAnsi="Times New Roman" w:cs="Times New Roman"/>
                <w:color w:val="auto"/>
                <w:sz w:val="21"/>
                <w:szCs w:val="21"/>
                <w:highlight w:val="none"/>
                <w:lang w:val="en-US" w:eastAsia="zh-CN"/>
              </w:rPr>
              <w:t>的</w:t>
            </w:r>
            <w:r>
              <w:rPr>
                <w:rFonts w:hint="default" w:ascii="Times New Roman" w:hAnsi="Times New Roman" w:eastAsia="宋体" w:cs="Times New Roman"/>
                <w:color w:val="auto"/>
                <w:sz w:val="21"/>
                <w:szCs w:val="21"/>
                <w:highlight w:val="none"/>
                <w:lang w:val="en-US" w:eastAsia="zh-CN"/>
              </w:rPr>
              <w:t>震动峰值加速度与地震烈度对照表，确定评估区地震基本烈度为Ⅷ度。矿区属次稳定区。</w:t>
            </w:r>
          </w:p>
          <w:p>
            <w:pPr>
              <w:pStyle w:val="5"/>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b w:val="0"/>
                <w:bCs w:val="0"/>
                <w:color w:val="auto"/>
                <w:sz w:val="21"/>
                <w:szCs w:val="21"/>
                <w:highlight w:val="none"/>
                <w:lang w:val="en-US" w:eastAsia="zh-CN" w:bidi="ar-SA"/>
              </w:rPr>
              <w:t>项目区地质剖面图见图</w:t>
            </w:r>
            <w:r>
              <w:rPr>
                <w:rFonts w:hint="eastAsia" w:ascii="Times New Roman" w:hAnsi="Times New Roman" w:cs="Times New Roman"/>
                <w:b w:val="0"/>
                <w:bCs w:val="0"/>
                <w:color w:val="auto"/>
                <w:sz w:val="21"/>
                <w:szCs w:val="21"/>
                <w:highlight w:val="none"/>
                <w:lang w:val="en-US" w:eastAsia="zh-CN" w:bidi="ar-SA"/>
              </w:rPr>
              <w:t>6</w:t>
            </w:r>
            <w:r>
              <w:rPr>
                <w:rFonts w:hint="default" w:ascii="Times New Roman" w:hAnsi="Times New Roman" w:eastAsia="宋体" w:cs="Times New Roman"/>
                <w:b w:val="0"/>
                <w:bCs w:val="0"/>
                <w:color w:val="auto"/>
                <w:sz w:val="21"/>
                <w:szCs w:val="21"/>
                <w:highlight w:val="none"/>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91" w:hRule="atLeast"/>
        </w:trPr>
        <w:tc>
          <w:tcPr>
            <w:tcW w:w="870" w:type="dxa"/>
            <w:tcBorders>
              <w:top w:val="single" w:color="000000" w:sz="4" w:space="0"/>
              <w:bottom w:val="single" w:color="000000" w:sz="4" w:space="0"/>
              <w:right w:val="single" w:color="000000" w:sz="4" w:space="0"/>
            </w:tcBorders>
            <w:vAlign w:val="center"/>
          </w:tcPr>
          <w:p>
            <w:pPr>
              <w:pStyle w:val="18"/>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与项目有关的原有环境污染和生态破坏问题</w:t>
            </w:r>
          </w:p>
        </w:tc>
        <w:tc>
          <w:tcPr>
            <w:tcW w:w="8795" w:type="dxa"/>
            <w:tcBorders>
              <w:top w:val="single" w:color="000000" w:sz="4" w:space="0"/>
              <w:left w:val="single" w:color="000000" w:sz="4" w:space="0"/>
              <w:bottom w:val="single" w:color="000000" w:sz="4" w:space="0"/>
            </w:tcBorders>
            <w:vAlign w:val="center"/>
          </w:tcPr>
          <w:p>
            <w:pPr>
              <w:pStyle w:val="18"/>
              <w:spacing w:line="360" w:lineRule="auto"/>
              <w:ind w:firstLine="420" w:firstLineChars="20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本项目为新建项目，不存在与项目有关的原有环境污染和生态破坏问题。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44" w:hRule="atLeast"/>
        </w:trPr>
        <w:tc>
          <w:tcPr>
            <w:tcW w:w="870" w:type="dxa"/>
            <w:tcBorders>
              <w:top w:val="single" w:color="000000" w:sz="4" w:space="0"/>
              <w:bottom w:val="single" w:color="000000" w:sz="4" w:space="0"/>
              <w:right w:val="single" w:color="000000" w:sz="4" w:space="0"/>
            </w:tcBorders>
            <w:vAlign w:val="center"/>
          </w:tcPr>
          <w:p>
            <w:pPr>
              <w:pStyle w:val="18"/>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生态环境保护目标</w:t>
            </w:r>
          </w:p>
        </w:tc>
        <w:tc>
          <w:tcPr>
            <w:tcW w:w="8795" w:type="dxa"/>
            <w:tcBorders>
              <w:top w:val="single" w:color="000000" w:sz="4" w:space="0"/>
              <w:left w:val="single" w:color="000000" w:sz="4" w:space="0"/>
              <w:bottom w:val="single" w:color="000000" w:sz="4" w:space="0"/>
            </w:tcBorders>
          </w:tcPr>
          <w:p>
            <w:pPr>
              <w:pStyle w:val="18"/>
              <w:spacing w:line="360" w:lineRule="auto"/>
              <w:ind w:firstLine="420" w:firstLineChars="20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经现场踏勘，项目周边环境保护目标情况如下：</w:t>
            </w:r>
          </w:p>
          <w:p>
            <w:pPr>
              <w:pStyle w:val="18"/>
              <w:spacing w:line="360" w:lineRule="auto"/>
              <w:ind w:firstLine="420" w:firstLineChars="20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（1）大气环境保护目标</w:t>
            </w:r>
          </w:p>
          <w:p>
            <w:pPr>
              <w:pStyle w:val="18"/>
              <w:spacing w:line="360" w:lineRule="auto"/>
              <w:ind w:firstLine="420" w:firstLineChars="20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厂界外500m范围内无大气环境保护目标。</w:t>
            </w:r>
          </w:p>
          <w:p>
            <w:pPr>
              <w:pStyle w:val="18"/>
              <w:spacing w:line="360" w:lineRule="auto"/>
              <w:ind w:firstLine="420" w:firstLineChars="20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（2）声环境保护目标</w:t>
            </w:r>
          </w:p>
          <w:p>
            <w:pPr>
              <w:pStyle w:val="18"/>
              <w:spacing w:line="360" w:lineRule="auto"/>
              <w:ind w:firstLine="420" w:firstLineChars="20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厂界外50m范围内无声环境保护目标。</w:t>
            </w:r>
          </w:p>
          <w:p>
            <w:pPr>
              <w:pStyle w:val="18"/>
              <w:spacing w:line="360" w:lineRule="auto"/>
              <w:ind w:firstLine="420" w:firstLineChars="20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（3）地下水环境保护目标</w:t>
            </w:r>
          </w:p>
          <w:p>
            <w:pPr>
              <w:pStyle w:val="18"/>
              <w:spacing w:line="360" w:lineRule="auto"/>
              <w:ind w:firstLine="420" w:firstLineChars="20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厂界外500m范围内无地下水集中式饮用水水源和热水、矿泉水、温泉等特殊地下水资源环境保护目标。</w:t>
            </w:r>
          </w:p>
          <w:p>
            <w:pPr>
              <w:pStyle w:val="18"/>
              <w:spacing w:line="360" w:lineRule="auto"/>
              <w:ind w:firstLine="420" w:firstLineChars="20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（4）生态环境保护目标</w:t>
            </w:r>
          </w:p>
          <w:p>
            <w:pPr>
              <w:pStyle w:val="18"/>
              <w:spacing w:line="360" w:lineRule="auto"/>
              <w:ind w:firstLine="420" w:firstLineChars="200"/>
              <w:jc w:val="both"/>
              <w:rPr>
                <w:rFonts w:hint="default" w:ascii="Times New Roman" w:hAnsi="Times New Roman" w:eastAsia="宋体" w:cs="Times New Roman"/>
                <w:color w:val="auto"/>
                <w:spacing w:val="4"/>
                <w:kern w:val="2"/>
                <w:sz w:val="21"/>
                <w:szCs w:val="21"/>
                <w:highlight w:val="none"/>
                <w:lang w:eastAsia="zh-CN"/>
              </w:rPr>
            </w:pPr>
            <w:r>
              <w:rPr>
                <w:rFonts w:hint="default" w:ascii="Times New Roman" w:hAnsi="Times New Roman" w:eastAsia="宋体" w:cs="Times New Roman"/>
                <w:color w:val="auto"/>
                <w:sz w:val="21"/>
                <w:szCs w:val="21"/>
                <w:highlight w:val="none"/>
                <w:lang w:eastAsia="zh-CN"/>
              </w:rPr>
              <w:t>项目</w:t>
            </w:r>
            <w:r>
              <w:rPr>
                <w:rFonts w:hint="eastAsia" w:ascii="Times New Roman" w:hAnsi="Times New Roman" w:cs="Times New Roman"/>
                <w:color w:val="auto"/>
                <w:sz w:val="21"/>
                <w:szCs w:val="21"/>
                <w:highlight w:val="none"/>
                <w:lang w:eastAsia="zh-CN"/>
              </w:rPr>
              <w:t>开采</w:t>
            </w:r>
            <w:r>
              <w:rPr>
                <w:rFonts w:hint="default" w:ascii="Times New Roman" w:hAnsi="Times New Roman" w:eastAsia="宋体" w:cs="Times New Roman"/>
                <w:color w:val="auto"/>
                <w:sz w:val="21"/>
                <w:szCs w:val="21"/>
                <w:highlight w:val="none"/>
                <w:lang w:eastAsia="zh-CN"/>
              </w:rPr>
              <w:t>用地范围内</w:t>
            </w:r>
            <w:r>
              <w:rPr>
                <w:rFonts w:hint="eastAsia" w:ascii="Times New Roman" w:hAnsi="Times New Roman" w:cs="Times New Roman"/>
                <w:color w:val="auto"/>
                <w:sz w:val="21"/>
                <w:szCs w:val="21"/>
                <w:highlight w:val="none"/>
                <w:lang w:eastAsia="zh-CN"/>
              </w:rPr>
              <w:t>无</w:t>
            </w:r>
            <w:r>
              <w:rPr>
                <w:rFonts w:hint="default" w:ascii="Times New Roman" w:hAnsi="Times New Roman" w:eastAsia="宋体" w:cs="Times New Roman"/>
                <w:color w:val="auto"/>
                <w:sz w:val="21"/>
                <w:szCs w:val="21"/>
                <w:highlight w:val="none"/>
                <w:lang w:eastAsia="zh-CN"/>
              </w:rPr>
              <w:t>生态环境保护目标</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eastAsia="zh-CN"/>
              </w:rPr>
              <w:t>周边区域</w:t>
            </w:r>
            <w:r>
              <w:rPr>
                <w:rFonts w:hint="eastAsia" w:ascii="Times New Roman" w:hAnsi="Times New Roman" w:cs="Times New Roman"/>
                <w:color w:val="auto"/>
                <w:sz w:val="21"/>
                <w:szCs w:val="21"/>
                <w:highlight w:val="none"/>
                <w:lang w:eastAsia="zh-CN"/>
              </w:rPr>
              <w:t>生态保护目标主要为天然牧草地</w:t>
            </w:r>
            <w:r>
              <w:rPr>
                <w:rFonts w:hint="default" w:ascii="Times New Roman" w:hAnsi="Times New Roman" w:eastAsia="宋体" w:cs="Times New Roman"/>
                <w:color w:val="auto"/>
                <w:sz w:val="21"/>
                <w:szCs w:val="21"/>
                <w:highlight w:val="none"/>
                <w:lang w:eastAsia="zh-CN"/>
              </w:rPr>
              <w:t>。</w:t>
            </w:r>
          </w:p>
          <w:p>
            <w:pPr>
              <w:pStyle w:val="18"/>
              <w:rPr>
                <w:rFonts w:hint="default" w:ascii="Times New Roman" w:hAnsi="Times New Roman" w:eastAsia="宋体" w:cs="Times New Roman"/>
                <w:color w:val="auto"/>
                <w:spacing w:val="4"/>
                <w:kern w:val="2"/>
                <w:sz w:val="21"/>
                <w:szCs w:val="21"/>
                <w:highlight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56" w:hRule="atLeast"/>
        </w:trPr>
        <w:tc>
          <w:tcPr>
            <w:tcW w:w="870" w:type="dxa"/>
            <w:tcBorders>
              <w:top w:val="single" w:color="000000" w:sz="4" w:space="0"/>
              <w:bottom w:val="single" w:color="000000" w:sz="4" w:space="0"/>
              <w:right w:val="single" w:color="000000" w:sz="4" w:space="0"/>
            </w:tcBorders>
            <w:vAlign w:val="center"/>
          </w:tcPr>
          <w:p>
            <w:pPr>
              <w:pStyle w:val="18"/>
              <w:spacing w:line="272" w:lineRule="exact"/>
              <w:ind w:right="48"/>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评价</w:t>
            </w:r>
          </w:p>
          <w:p>
            <w:pPr>
              <w:pStyle w:val="18"/>
              <w:spacing w:line="272" w:lineRule="exact"/>
              <w:ind w:right="48"/>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标准</w:t>
            </w:r>
          </w:p>
        </w:tc>
        <w:tc>
          <w:tcPr>
            <w:tcW w:w="8795" w:type="dxa"/>
            <w:tcBorders>
              <w:top w:val="single" w:color="000000" w:sz="4" w:space="0"/>
              <w:left w:val="single" w:color="000000" w:sz="4" w:space="0"/>
              <w:bottom w:val="single" w:color="000000" w:sz="4" w:space="0"/>
            </w:tcBorders>
          </w:tcPr>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36" w:firstLineChars="200"/>
              <w:jc w:val="both"/>
              <w:textAlignment w:val="auto"/>
              <w:rPr>
                <w:rFonts w:hint="default" w:ascii="Times New Roman" w:hAnsi="Times New Roman" w:eastAsia="宋体" w:cs="Times New Roman"/>
                <w:color w:val="auto"/>
                <w:spacing w:val="4"/>
                <w:kern w:val="2"/>
                <w:sz w:val="21"/>
                <w:szCs w:val="21"/>
                <w:highlight w:val="none"/>
                <w:lang w:eastAsia="zh-CN"/>
              </w:rPr>
            </w:pPr>
            <w:r>
              <w:rPr>
                <w:rFonts w:hint="default" w:ascii="Times New Roman" w:hAnsi="Times New Roman" w:eastAsia="宋体" w:cs="Times New Roman"/>
                <w:color w:val="auto"/>
                <w:spacing w:val="4"/>
                <w:kern w:val="2"/>
                <w:sz w:val="21"/>
                <w:szCs w:val="21"/>
                <w:highlight w:val="none"/>
                <w:lang w:eastAsia="zh-CN"/>
              </w:rPr>
              <w:t>（1）废气排放控制标准</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36" w:firstLineChars="200"/>
              <w:jc w:val="both"/>
              <w:textAlignment w:val="auto"/>
              <w:rPr>
                <w:rFonts w:hint="default" w:ascii="Times New Roman" w:hAnsi="Times New Roman" w:eastAsia="宋体" w:cs="Times New Roman"/>
                <w:color w:val="auto"/>
                <w:spacing w:val="4"/>
                <w:kern w:val="2"/>
                <w:sz w:val="21"/>
                <w:szCs w:val="21"/>
                <w:highlight w:val="none"/>
                <w:lang w:eastAsia="zh-CN"/>
              </w:rPr>
            </w:pPr>
            <w:r>
              <w:rPr>
                <w:rFonts w:hint="default" w:ascii="Times New Roman" w:hAnsi="Times New Roman" w:eastAsia="宋体" w:cs="Times New Roman"/>
                <w:color w:val="auto"/>
                <w:spacing w:val="4"/>
                <w:kern w:val="2"/>
                <w:sz w:val="21"/>
                <w:szCs w:val="21"/>
                <w:highlight w:val="none"/>
                <w:lang w:eastAsia="zh-CN"/>
              </w:rPr>
              <w:t>本项目产生的废气主要为TSP，执行《大气污染物综合排放标准》（GB 16297-1996）无组织排放限值要求（1mg/m³）。</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36" w:firstLineChars="200"/>
              <w:textAlignment w:val="auto"/>
              <w:rPr>
                <w:rFonts w:hint="default" w:ascii="Times New Roman" w:hAnsi="Times New Roman" w:eastAsia="宋体" w:cs="Times New Roman"/>
                <w:color w:val="auto"/>
                <w:spacing w:val="4"/>
                <w:kern w:val="2"/>
                <w:sz w:val="21"/>
                <w:szCs w:val="21"/>
                <w:highlight w:val="none"/>
                <w:lang w:eastAsia="zh-CN"/>
              </w:rPr>
            </w:pPr>
            <w:r>
              <w:rPr>
                <w:rFonts w:hint="default" w:ascii="Times New Roman" w:hAnsi="Times New Roman" w:eastAsia="宋体" w:cs="Times New Roman"/>
                <w:color w:val="auto"/>
                <w:spacing w:val="4"/>
                <w:kern w:val="2"/>
                <w:sz w:val="21"/>
                <w:szCs w:val="21"/>
                <w:highlight w:val="none"/>
                <w:lang w:eastAsia="zh-CN"/>
              </w:rPr>
              <w:t>（2）废水排放控制标准</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36" w:firstLineChars="200"/>
              <w:textAlignment w:val="auto"/>
              <w:rPr>
                <w:rFonts w:hint="default" w:ascii="Times New Roman" w:hAnsi="Times New Roman" w:eastAsia="宋体" w:cs="Times New Roman"/>
                <w:color w:val="auto"/>
                <w:spacing w:val="4"/>
                <w:kern w:val="2"/>
                <w:sz w:val="21"/>
                <w:szCs w:val="21"/>
                <w:highlight w:val="none"/>
                <w:lang w:eastAsia="zh-CN"/>
              </w:rPr>
            </w:pPr>
            <w:r>
              <w:rPr>
                <w:rFonts w:hint="default" w:ascii="Times New Roman" w:hAnsi="Times New Roman" w:eastAsia="宋体" w:cs="Times New Roman"/>
                <w:color w:val="auto"/>
                <w:spacing w:val="4"/>
                <w:kern w:val="2"/>
                <w:sz w:val="21"/>
                <w:szCs w:val="21"/>
                <w:highlight w:val="none"/>
                <w:lang w:eastAsia="zh-CN"/>
              </w:rPr>
              <w:t>项目运营期，生活污水依托</w:t>
            </w:r>
            <w:r>
              <w:rPr>
                <w:rFonts w:hint="eastAsia" w:ascii="Times New Roman" w:hAnsi="Times New Roman" w:cs="Times New Roman"/>
                <w:color w:val="auto"/>
                <w:spacing w:val="4"/>
                <w:kern w:val="2"/>
                <w:sz w:val="21"/>
                <w:szCs w:val="21"/>
                <w:highlight w:val="none"/>
                <w:lang w:val="en-US" w:eastAsia="zh-CN"/>
              </w:rPr>
              <w:t>新源县塔勒德镇阿克托别砖瓦用粘土矿</w:t>
            </w:r>
            <w:r>
              <w:rPr>
                <w:rFonts w:hint="default" w:ascii="Times New Roman" w:hAnsi="Times New Roman" w:eastAsia="宋体" w:cs="Times New Roman"/>
                <w:color w:val="auto"/>
                <w:spacing w:val="4"/>
                <w:kern w:val="2"/>
                <w:sz w:val="21"/>
                <w:szCs w:val="21"/>
                <w:highlight w:val="none"/>
                <w:lang w:eastAsia="zh-CN"/>
              </w:rPr>
              <w:t>矿区东侧砖厂已建防渗化粪池收集，执行《污水综合排放标准》（GB 8978-1996）三级标准，见表</w:t>
            </w:r>
            <w:r>
              <w:rPr>
                <w:rFonts w:hint="default" w:ascii="Times New Roman" w:hAnsi="Times New Roman" w:eastAsia="宋体" w:cs="Times New Roman"/>
                <w:color w:val="auto"/>
                <w:spacing w:val="4"/>
                <w:kern w:val="2"/>
                <w:sz w:val="21"/>
                <w:szCs w:val="21"/>
                <w:highlight w:val="none"/>
                <w:lang w:val="en-US" w:eastAsia="zh-CN"/>
              </w:rPr>
              <w:t>3-</w:t>
            </w:r>
            <w:r>
              <w:rPr>
                <w:rFonts w:hint="default" w:ascii="Times New Roman" w:hAnsi="Times New Roman" w:eastAsia="宋体" w:cs="Times New Roman"/>
                <w:color w:val="auto"/>
                <w:spacing w:val="4"/>
                <w:kern w:val="2"/>
                <w:sz w:val="21"/>
                <w:szCs w:val="21"/>
                <w:highlight w:val="none"/>
                <w:lang w:eastAsia="zh-CN"/>
              </w:rPr>
              <w:t>6。</w:t>
            </w:r>
          </w:p>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表</w:t>
            </w:r>
            <w:r>
              <w:rPr>
                <w:rFonts w:hint="default" w:ascii="Times New Roman" w:hAnsi="Times New Roman" w:eastAsia="宋体" w:cs="Times New Roman"/>
                <w:b/>
                <w:bCs/>
                <w:color w:val="auto"/>
                <w:sz w:val="21"/>
                <w:szCs w:val="21"/>
                <w:highlight w:val="none"/>
                <w:lang w:val="en-US" w:eastAsia="zh-CN"/>
              </w:rPr>
              <w:t>3-</w:t>
            </w:r>
            <w:r>
              <w:rPr>
                <w:rFonts w:hint="default" w:ascii="Times New Roman" w:hAnsi="Times New Roman" w:eastAsia="宋体" w:cs="Times New Roman"/>
                <w:b/>
                <w:bCs/>
                <w:color w:val="auto"/>
                <w:sz w:val="21"/>
                <w:szCs w:val="21"/>
                <w:highlight w:val="none"/>
                <w:lang w:eastAsia="zh-CN"/>
              </w:rPr>
              <w:t>6    本项目废水排放标准限值表        单位：mg/L</w:t>
            </w:r>
          </w:p>
          <w:tbl>
            <w:tblPr>
              <w:tblStyle w:val="14"/>
              <w:tblW w:w="8539" w:type="dxa"/>
              <w:jc w:val="center"/>
              <w:tblInd w:w="0" w:type="dxa"/>
              <w:tblLayout w:type="fixed"/>
              <w:tblCellMar>
                <w:top w:w="0" w:type="dxa"/>
                <w:left w:w="108" w:type="dxa"/>
                <w:bottom w:w="0" w:type="dxa"/>
                <w:right w:w="108" w:type="dxa"/>
              </w:tblCellMar>
            </w:tblPr>
            <w:tblGrid>
              <w:gridCol w:w="1005"/>
              <w:gridCol w:w="3544"/>
              <w:gridCol w:w="3990"/>
            </w:tblGrid>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序    号</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污染物项目</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浓度限值</w:t>
                  </w:r>
                </w:p>
              </w:tc>
            </w:tr>
            <w:tr>
              <w:tblPrEx>
                <w:tblLayout w:type="fixed"/>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1</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pH（无量纲）</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6~9</w:t>
                  </w:r>
                </w:p>
              </w:tc>
            </w:tr>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2</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BOD</w:t>
                  </w:r>
                  <w:r>
                    <w:rPr>
                      <w:rFonts w:hint="default" w:ascii="Times New Roman" w:hAnsi="Times New Roman" w:eastAsia="宋体" w:cs="Times New Roman"/>
                      <w:color w:val="auto"/>
                      <w:sz w:val="21"/>
                      <w:szCs w:val="21"/>
                      <w:highlight w:val="none"/>
                      <w:vertAlign w:val="subscript"/>
                      <w:lang w:eastAsia="zh-CN"/>
                    </w:rPr>
                    <w:t>5</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300</w:t>
                  </w:r>
                </w:p>
              </w:tc>
            </w:tr>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3</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COD</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500</w:t>
                  </w:r>
                </w:p>
              </w:tc>
            </w:tr>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4</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SS</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400</w:t>
                  </w:r>
                </w:p>
              </w:tc>
            </w:tr>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5</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NH</w:t>
                  </w:r>
                  <w:r>
                    <w:rPr>
                      <w:rFonts w:hint="default" w:ascii="Times New Roman" w:hAnsi="Times New Roman" w:eastAsia="宋体" w:cs="Times New Roman"/>
                      <w:color w:val="auto"/>
                      <w:sz w:val="21"/>
                      <w:szCs w:val="21"/>
                      <w:highlight w:val="none"/>
                      <w:vertAlign w:val="subscript"/>
                      <w:lang w:eastAsia="zh-CN"/>
                    </w:rPr>
                    <w:t>3</w:t>
                  </w:r>
                  <w:r>
                    <w:rPr>
                      <w:rFonts w:hint="default" w:ascii="Times New Roman" w:hAnsi="Times New Roman" w:eastAsia="宋体" w:cs="Times New Roman"/>
                      <w:color w:val="auto"/>
                      <w:sz w:val="21"/>
                      <w:szCs w:val="21"/>
                      <w:highlight w:val="none"/>
                      <w:lang w:eastAsia="zh-CN"/>
                    </w:rPr>
                    <w:t>-N</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w:t>
                  </w:r>
                </w:p>
              </w:tc>
            </w:tr>
          </w:tbl>
          <w:p>
            <w:pPr>
              <w:pStyle w:val="18"/>
              <w:spacing w:before="120" w:beforeLines="50" w:line="360" w:lineRule="auto"/>
              <w:ind w:firstLine="436" w:firstLineChars="200"/>
              <w:rPr>
                <w:rFonts w:hint="default" w:ascii="Times New Roman" w:hAnsi="Times New Roman" w:eastAsia="宋体" w:cs="Times New Roman"/>
                <w:color w:val="auto"/>
                <w:spacing w:val="4"/>
                <w:kern w:val="2"/>
                <w:sz w:val="21"/>
                <w:szCs w:val="21"/>
                <w:highlight w:val="none"/>
                <w:lang w:eastAsia="zh-CN"/>
              </w:rPr>
            </w:pPr>
            <w:r>
              <w:rPr>
                <w:rFonts w:hint="default" w:ascii="Times New Roman" w:hAnsi="Times New Roman" w:eastAsia="宋体" w:cs="Times New Roman"/>
                <w:color w:val="auto"/>
                <w:spacing w:val="4"/>
                <w:kern w:val="2"/>
                <w:sz w:val="21"/>
                <w:szCs w:val="21"/>
                <w:highlight w:val="none"/>
                <w:lang w:eastAsia="zh-CN"/>
              </w:rPr>
              <w:t>（3）噪声排放控制标准</w:t>
            </w:r>
          </w:p>
          <w:p>
            <w:pPr>
              <w:pStyle w:val="18"/>
              <w:spacing w:line="360" w:lineRule="auto"/>
              <w:ind w:firstLine="436" w:firstLineChars="200"/>
              <w:rPr>
                <w:rFonts w:hint="default" w:ascii="Times New Roman" w:hAnsi="Times New Roman" w:eastAsia="宋体" w:cs="Times New Roman"/>
                <w:color w:val="auto"/>
                <w:spacing w:val="4"/>
                <w:kern w:val="2"/>
                <w:sz w:val="21"/>
                <w:szCs w:val="21"/>
                <w:highlight w:val="none"/>
                <w:lang w:eastAsia="zh-CN"/>
              </w:rPr>
            </w:pPr>
            <w:r>
              <w:rPr>
                <w:rFonts w:hint="default" w:ascii="Times New Roman" w:hAnsi="Times New Roman" w:eastAsia="宋体" w:cs="Times New Roman"/>
                <w:color w:val="auto"/>
                <w:spacing w:val="4"/>
                <w:kern w:val="2"/>
                <w:sz w:val="21"/>
                <w:szCs w:val="21"/>
                <w:highlight w:val="none"/>
                <w:lang w:eastAsia="zh-CN"/>
              </w:rPr>
              <w:t>项目运营期，厂界噪声执行《工业企业厂界环境噪声排放标准》（GB 12348-2008）的2类标准，标准限值见表</w:t>
            </w:r>
            <w:r>
              <w:rPr>
                <w:rFonts w:hint="default" w:ascii="Times New Roman" w:hAnsi="Times New Roman" w:eastAsia="宋体" w:cs="Times New Roman"/>
                <w:color w:val="auto"/>
                <w:spacing w:val="4"/>
                <w:kern w:val="2"/>
                <w:sz w:val="21"/>
                <w:szCs w:val="21"/>
                <w:highlight w:val="none"/>
                <w:lang w:val="en-US" w:eastAsia="zh-CN"/>
              </w:rPr>
              <w:t>3-</w:t>
            </w:r>
            <w:r>
              <w:rPr>
                <w:rFonts w:hint="default" w:ascii="Times New Roman" w:hAnsi="Times New Roman" w:eastAsia="宋体" w:cs="Times New Roman"/>
                <w:color w:val="auto"/>
                <w:spacing w:val="4"/>
                <w:kern w:val="2"/>
                <w:sz w:val="21"/>
                <w:szCs w:val="21"/>
                <w:highlight w:val="none"/>
                <w:lang w:eastAsia="zh-CN"/>
              </w:rPr>
              <w:t>7。</w:t>
            </w:r>
          </w:p>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表</w:t>
            </w:r>
            <w:r>
              <w:rPr>
                <w:rFonts w:hint="default" w:ascii="Times New Roman" w:hAnsi="Times New Roman" w:eastAsia="宋体" w:cs="Times New Roman"/>
                <w:b/>
                <w:bCs/>
                <w:color w:val="auto"/>
                <w:sz w:val="21"/>
                <w:szCs w:val="21"/>
                <w:highlight w:val="none"/>
                <w:lang w:val="en-US" w:eastAsia="zh-CN"/>
              </w:rPr>
              <w:t>3-</w:t>
            </w:r>
            <w:r>
              <w:rPr>
                <w:rFonts w:hint="default" w:ascii="Times New Roman" w:hAnsi="Times New Roman" w:eastAsia="宋体" w:cs="Times New Roman"/>
                <w:b/>
                <w:bCs/>
                <w:color w:val="auto"/>
                <w:sz w:val="21"/>
                <w:szCs w:val="21"/>
                <w:highlight w:val="none"/>
                <w:lang w:eastAsia="zh-CN"/>
              </w:rPr>
              <w:t>7    工业企业厂界环境噪声排放限值        单位：dB（A）</w:t>
            </w:r>
          </w:p>
          <w:tbl>
            <w:tblPr>
              <w:tblStyle w:val="14"/>
              <w:tblW w:w="8539" w:type="dxa"/>
              <w:jc w:val="center"/>
              <w:tblInd w:w="0" w:type="dxa"/>
              <w:tblLayout w:type="fixed"/>
              <w:tblCellMar>
                <w:top w:w="0" w:type="dxa"/>
                <w:left w:w="108" w:type="dxa"/>
                <w:bottom w:w="0" w:type="dxa"/>
                <w:right w:w="108" w:type="dxa"/>
              </w:tblCellMar>
            </w:tblPr>
            <w:tblGrid>
              <w:gridCol w:w="4202"/>
              <w:gridCol w:w="2127"/>
              <w:gridCol w:w="2210"/>
            </w:tblGrid>
            <w:tr>
              <w:tblPrEx>
                <w:tblLayout w:type="fixed"/>
                <w:tblCellMar>
                  <w:top w:w="0" w:type="dxa"/>
                  <w:left w:w="108" w:type="dxa"/>
                  <w:bottom w:w="0" w:type="dxa"/>
                  <w:right w:w="108" w:type="dxa"/>
                </w:tblCellMar>
              </w:tblPrEx>
              <w:trPr>
                <w:trHeight w:val="20" w:hRule="atLeast"/>
                <w:jc w:val="center"/>
              </w:trPr>
              <w:tc>
                <w:tcPr>
                  <w:tcW w:w="42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厂界外声环境功能区类别</w:t>
                  </w:r>
                </w:p>
              </w:tc>
              <w:tc>
                <w:tcPr>
                  <w:tcW w:w="4337"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时段</w:t>
                  </w:r>
                </w:p>
              </w:tc>
            </w:tr>
            <w:tr>
              <w:tblPrEx>
                <w:tblLayout w:type="fixed"/>
                <w:tblCellMar>
                  <w:top w:w="0" w:type="dxa"/>
                  <w:left w:w="108" w:type="dxa"/>
                  <w:bottom w:w="0" w:type="dxa"/>
                  <w:right w:w="108" w:type="dxa"/>
                </w:tblCellMar>
              </w:tblPrEx>
              <w:trPr>
                <w:trHeight w:val="20" w:hRule="atLeast"/>
                <w:jc w:val="center"/>
              </w:trPr>
              <w:tc>
                <w:tcPr>
                  <w:tcW w:w="420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b/>
                      <w:color w:val="auto"/>
                      <w:kern w:val="2"/>
                      <w:sz w:val="21"/>
                      <w:szCs w:val="21"/>
                      <w:highlight w:val="none"/>
                      <w:lang w:eastAsia="zh-CN"/>
                    </w:rPr>
                  </w:pPr>
                </w:p>
              </w:tc>
              <w:tc>
                <w:tcPr>
                  <w:tcW w:w="212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昼  间</w:t>
                  </w:r>
                </w:p>
              </w:tc>
              <w:tc>
                <w:tcPr>
                  <w:tcW w:w="221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lang w:eastAsia="zh-CN"/>
                    </w:rPr>
                    <w:t>夜  间</w:t>
                  </w:r>
                </w:p>
              </w:tc>
            </w:tr>
            <w:tr>
              <w:tblPrEx>
                <w:tblLayout w:type="fixed"/>
                <w:tblCellMar>
                  <w:top w:w="0" w:type="dxa"/>
                  <w:left w:w="108" w:type="dxa"/>
                  <w:bottom w:w="0" w:type="dxa"/>
                  <w:right w:w="108" w:type="dxa"/>
                </w:tblCellMar>
              </w:tblPrEx>
              <w:trPr>
                <w:trHeight w:val="20" w:hRule="atLeast"/>
                <w:jc w:val="center"/>
              </w:trPr>
              <w:tc>
                <w:tcPr>
                  <w:tcW w:w="42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2</w:t>
                  </w:r>
                </w:p>
              </w:tc>
              <w:tc>
                <w:tcPr>
                  <w:tcW w:w="212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60</w:t>
                  </w:r>
                </w:p>
              </w:tc>
              <w:tc>
                <w:tcPr>
                  <w:tcW w:w="221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50</w:t>
                  </w:r>
                </w:p>
              </w:tc>
            </w:tr>
          </w:tbl>
          <w:p>
            <w:pPr>
              <w:pStyle w:val="18"/>
              <w:spacing w:before="120" w:beforeLines="50" w:line="360" w:lineRule="auto"/>
              <w:ind w:firstLine="436" w:firstLineChars="200"/>
              <w:rPr>
                <w:rFonts w:hint="default" w:ascii="Times New Roman" w:hAnsi="Times New Roman" w:eastAsia="宋体" w:cs="Times New Roman"/>
                <w:color w:val="auto"/>
                <w:spacing w:val="4"/>
                <w:kern w:val="2"/>
                <w:sz w:val="21"/>
                <w:szCs w:val="21"/>
                <w:highlight w:val="none"/>
                <w:lang w:eastAsia="zh-CN"/>
              </w:rPr>
            </w:pPr>
            <w:r>
              <w:rPr>
                <w:rFonts w:hint="default" w:ascii="Times New Roman" w:hAnsi="Times New Roman" w:eastAsia="宋体" w:cs="Times New Roman"/>
                <w:color w:val="auto"/>
                <w:spacing w:val="4"/>
                <w:kern w:val="2"/>
                <w:sz w:val="21"/>
                <w:szCs w:val="21"/>
                <w:highlight w:val="none"/>
                <w:lang w:eastAsia="zh-CN"/>
              </w:rPr>
              <w:t>（4）固体废物控制标准</w:t>
            </w:r>
          </w:p>
          <w:p>
            <w:pPr>
              <w:autoSpaceDE/>
              <w:autoSpaceDN/>
              <w:spacing w:line="360" w:lineRule="auto"/>
              <w:ind w:firstLine="436" w:firstLineChars="200"/>
              <w:jc w:val="both"/>
              <w:rPr>
                <w:rFonts w:hint="default" w:ascii="Times New Roman" w:hAnsi="Times New Roman" w:eastAsia="宋体" w:cs="Times New Roman"/>
                <w:b/>
                <w:bCs/>
                <w:color w:val="auto"/>
                <w:spacing w:val="4"/>
                <w:kern w:val="2"/>
                <w:sz w:val="21"/>
                <w:szCs w:val="21"/>
                <w:highlight w:val="none"/>
                <w:lang w:eastAsia="zh-CN"/>
              </w:rPr>
            </w:pPr>
            <w:r>
              <w:rPr>
                <w:rFonts w:hint="default" w:ascii="Times New Roman" w:hAnsi="Times New Roman" w:eastAsia="宋体" w:cs="Times New Roman"/>
                <w:color w:val="auto"/>
                <w:spacing w:val="4"/>
                <w:kern w:val="2"/>
                <w:sz w:val="21"/>
                <w:szCs w:val="21"/>
                <w:highlight w:val="none"/>
                <w:lang w:eastAsia="zh-CN"/>
              </w:rPr>
              <w:t>项目运营期，生活垃圾暂存执行《一般工业固体废物贮存和填埋污染物控制标准》（GB 18599-2020）。</w:t>
            </w: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p>
            <w:pPr>
              <w:autoSpaceDE/>
              <w:autoSpaceDN/>
              <w:spacing w:line="360" w:lineRule="auto"/>
              <w:jc w:val="both"/>
              <w:rPr>
                <w:rFonts w:hint="default" w:ascii="Times New Roman" w:hAnsi="Times New Roman" w:eastAsia="宋体" w:cs="Times New Roman"/>
                <w:color w:val="auto"/>
                <w:spacing w:val="4"/>
                <w:kern w:val="2"/>
                <w:sz w:val="21"/>
                <w:szCs w:val="21"/>
                <w:highlight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 w:hRule="atLeast"/>
        </w:trPr>
        <w:tc>
          <w:tcPr>
            <w:tcW w:w="870" w:type="dxa"/>
            <w:tcBorders>
              <w:top w:val="single" w:color="000000" w:sz="4" w:space="0"/>
              <w:right w:val="single" w:color="000000" w:sz="4" w:space="0"/>
            </w:tcBorders>
            <w:vAlign w:val="center"/>
          </w:tcPr>
          <w:p>
            <w:pPr>
              <w:pStyle w:val="18"/>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其他</w:t>
            </w:r>
          </w:p>
        </w:tc>
        <w:tc>
          <w:tcPr>
            <w:tcW w:w="8795" w:type="dxa"/>
            <w:tcBorders>
              <w:top w:val="single" w:color="000000" w:sz="4" w:space="0"/>
              <w:left w:val="single" w:color="000000" w:sz="4" w:space="0"/>
            </w:tcBorders>
            <w:vAlign w:val="center"/>
          </w:tcPr>
          <w:p>
            <w:pPr>
              <w:autoSpaceDE/>
              <w:autoSpaceDN/>
              <w:spacing w:before="120" w:beforeLines="50" w:line="36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无</w:t>
            </w:r>
          </w:p>
        </w:tc>
      </w:tr>
    </w:tbl>
    <w:p>
      <w:pPr>
        <w:ind w:right="420"/>
        <w:rPr>
          <w:rFonts w:ascii="Times New Roman" w:hAnsi="Times New Roman" w:cs="Times New Roman"/>
          <w:sz w:val="21"/>
          <w:lang w:eastAsia="zh-CN"/>
        </w:rPr>
      </w:pPr>
    </w:p>
    <w:p>
      <w:pPr>
        <w:rPr>
          <w:rFonts w:ascii="Times New Roman" w:hAnsi="Times New Roman" w:cs="Times New Roman"/>
          <w:sz w:val="21"/>
          <w:lang w:eastAsia="zh-CN"/>
        </w:rPr>
        <w:sectPr>
          <w:type w:val="nextColumn"/>
          <w:pgSz w:w="11913" w:h="1684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8"/>
        <w:ind w:left="3033"/>
        <w:rPr>
          <w:rFonts w:ascii="Times New Roman" w:hAnsi="Times New Roman" w:cs="Times New Roman"/>
          <w:b/>
          <w:bCs/>
          <w:lang w:eastAsia="zh-CN"/>
        </w:rPr>
      </w:pPr>
      <w:r>
        <w:rPr>
          <w:rFonts w:ascii="Times New Roman" w:hAnsi="Times New Roman" w:cs="Times New Roman"/>
          <w:b/>
          <w:bCs/>
          <w:lang w:eastAsia="zh-CN"/>
        </w:rPr>
        <w:t>四、生态环境影响分析</w:t>
      </w:r>
    </w:p>
    <w:tbl>
      <w:tblPr>
        <w:tblStyle w:val="16"/>
        <w:tblW w:w="96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87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870" w:type="dxa"/>
            <w:tcBorders>
              <w:bottom w:val="single" w:color="000000" w:sz="4" w:space="0"/>
              <w:right w:val="single" w:color="000000" w:sz="4" w:space="0"/>
            </w:tcBorders>
            <w:vAlign w:val="center"/>
          </w:tcPr>
          <w:p>
            <w:pPr>
              <w:pStyle w:val="18"/>
              <w:jc w:val="center"/>
              <w:rPr>
                <w:rFonts w:ascii="Times New Roman" w:hAnsi="Times New Roman" w:cs="Times New Roman"/>
                <w:b/>
                <w:color w:val="auto"/>
                <w:sz w:val="21"/>
                <w:szCs w:val="21"/>
                <w:highlight w:val="none"/>
                <w:lang w:eastAsia="zh-CN"/>
              </w:rPr>
            </w:pPr>
            <w:r>
              <w:rPr>
                <w:rFonts w:ascii="Times New Roman" w:hAnsi="Times New Roman" w:cs="Times New Roman"/>
                <w:b/>
                <w:color w:val="auto"/>
                <w:sz w:val="21"/>
                <w:szCs w:val="21"/>
                <w:highlight w:val="none"/>
                <w:lang w:eastAsia="zh-CN"/>
              </w:rPr>
              <w:t>施工期生态环境影响分析</w:t>
            </w:r>
          </w:p>
        </w:tc>
        <w:tc>
          <w:tcPr>
            <w:tcW w:w="8795" w:type="dxa"/>
            <w:tcBorders>
              <w:left w:val="single" w:color="000000" w:sz="4" w:space="0"/>
              <w:bottom w:val="single" w:color="000000" w:sz="4" w:space="0"/>
            </w:tcBorders>
          </w:tcPr>
          <w:p>
            <w:pPr>
              <w:autoSpaceDE/>
              <w:autoSpaceDN/>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b w:val="0"/>
                <w:bCs w:val="0"/>
                <w:color w:val="auto"/>
                <w:sz w:val="21"/>
                <w:szCs w:val="21"/>
                <w:highlight w:val="none"/>
                <w:lang w:eastAsia="zh-CN"/>
              </w:rPr>
              <w:t>本项目</w:t>
            </w:r>
            <w:r>
              <w:rPr>
                <w:rFonts w:hint="eastAsia" w:ascii="Times New Roman" w:hAnsi="Times New Roman" w:eastAsia="宋体" w:cs="Times New Roman"/>
                <w:color w:val="auto"/>
                <w:spacing w:val="4"/>
                <w:kern w:val="2"/>
                <w:sz w:val="21"/>
                <w:szCs w:val="21"/>
                <w:highlight w:val="none"/>
                <w:lang w:val="en-US" w:eastAsia="zh-CN"/>
              </w:rPr>
              <w:t>矿区外东南侧现有北东-南西向乡村道路通过，长约253</w:t>
            </w:r>
            <w:r>
              <w:rPr>
                <w:rFonts w:hint="eastAsia" w:ascii="Times New Roman" w:hAnsi="Times New Roman" w:cs="Times New Roman"/>
                <w:color w:val="auto"/>
                <w:spacing w:val="4"/>
                <w:kern w:val="2"/>
                <w:sz w:val="21"/>
                <w:szCs w:val="21"/>
                <w:highlight w:val="none"/>
                <w:lang w:val="en-US" w:eastAsia="zh-CN"/>
              </w:rPr>
              <w:t>m</w:t>
            </w:r>
            <w:r>
              <w:rPr>
                <w:rFonts w:hint="eastAsia" w:ascii="Times New Roman" w:hAnsi="Times New Roman" w:eastAsia="宋体" w:cs="Times New Roman"/>
                <w:color w:val="auto"/>
                <w:spacing w:val="4"/>
                <w:kern w:val="2"/>
                <w:sz w:val="21"/>
                <w:szCs w:val="21"/>
                <w:highlight w:val="none"/>
                <w:lang w:val="en-US" w:eastAsia="zh-CN"/>
              </w:rPr>
              <w:t>，路面宽度5.0</w:t>
            </w:r>
            <w:r>
              <w:rPr>
                <w:rFonts w:hint="eastAsia" w:ascii="Times New Roman" w:hAnsi="Times New Roman" w:cs="Times New Roman"/>
                <w:color w:val="auto"/>
                <w:spacing w:val="4"/>
                <w:kern w:val="2"/>
                <w:sz w:val="21"/>
                <w:szCs w:val="21"/>
                <w:highlight w:val="none"/>
                <w:lang w:val="en-US" w:eastAsia="zh-CN"/>
              </w:rPr>
              <w:t>m</w:t>
            </w:r>
            <w:r>
              <w:rPr>
                <w:rFonts w:ascii="Times New Roman" w:hAnsi="Times New Roman" w:cs="Times New Roman"/>
                <w:b w:val="0"/>
                <w:bCs w:val="0"/>
                <w:color w:val="auto"/>
                <w:sz w:val="21"/>
                <w:szCs w:val="21"/>
                <w:highlight w:val="none"/>
                <w:lang w:eastAsia="zh-CN"/>
              </w:rPr>
              <w:t>。</w:t>
            </w:r>
            <w:r>
              <w:rPr>
                <w:rFonts w:hint="eastAsia" w:ascii="Times New Roman" w:hAnsi="Times New Roman" w:cs="Times New Roman"/>
                <w:b w:val="0"/>
                <w:bCs w:val="0"/>
                <w:color w:val="auto"/>
                <w:sz w:val="21"/>
                <w:szCs w:val="21"/>
                <w:highlight w:val="none"/>
                <w:lang w:eastAsia="zh-CN"/>
              </w:rPr>
              <w:t>项目不新建矿区道路，不新建生活区。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11" w:hRule="atLeast"/>
        </w:trPr>
        <w:tc>
          <w:tcPr>
            <w:tcW w:w="870"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color w:val="auto"/>
                <w:sz w:val="21"/>
                <w:szCs w:val="21"/>
                <w:highlight w:val="none"/>
                <w:lang w:eastAsia="zh-CN"/>
              </w:rPr>
            </w:pPr>
            <w:r>
              <w:rPr>
                <w:rFonts w:ascii="Times New Roman" w:hAnsi="Times New Roman" w:cs="Times New Roman"/>
                <w:b/>
                <w:color w:val="auto"/>
                <w:sz w:val="21"/>
                <w:szCs w:val="21"/>
                <w:highlight w:val="none"/>
                <w:lang w:eastAsia="zh-CN"/>
              </w:rPr>
              <w:t>运营期生态环境影响分析</w:t>
            </w:r>
          </w:p>
        </w:tc>
        <w:tc>
          <w:tcPr>
            <w:tcW w:w="8795" w:type="dxa"/>
            <w:tcBorders>
              <w:top w:val="single" w:color="000000" w:sz="4" w:space="0"/>
              <w:left w:val="single" w:color="000000" w:sz="4" w:space="0"/>
              <w:bottom w:val="single" w:color="000000" w:sz="4" w:space="0"/>
            </w:tcBorders>
          </w:tcPr>
          <w:p>
            <w:pPr>
              <w:pStyle w:val="18"/>
              <w:spacing w:before="120" w:beforeLines="50" w:line="360" w:lineRule="auto"/>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1、运营期大气环境影响分析</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w:t>
            </w:r>
            <w:r>
              <w:rPr>
                <w:rFonts w:ascii="Times New Roman" w:hAnsi="Times New Roman" w:cs="Times New Roman"/>
                <w:color w:val="auto"/>
                <w:sz w:val="21"/>
                <w:szCs w:val="21"/>
                <w:highlight w:val="none"/>
                <w:lang w:eastAsia="zh-CN"/>
              </w:rPr>
              <w:t>采挖</w:t>
            </w:r>
            <w:r>
              <w:rPr>
                <w:rFonts w:hint="eastAsia" w:ascii="Times New Roman" w:hAnsi="Times New Roman" w:cs="Times New Roman"/>
                <w:color w:val="auto"/>
                <w:sz w:val="21"/>
                <w:szCs w:val="21"/>
                <w:highlight w:val="none"/>
                <w:lang w:eastAsia="zh-CN"/>
              </w:rPr>
              <w:t>的</w:t>
            </w:r>
            <w:r>
              <w:rPr>
                <w:rFonts w:ascii="Times New Roman" w:hAnsi="Times New Roman" w:cs="Times New Roman"/>
                <w:color w:val="auto"/>
                <w:sz w:val="21"/>
                <w:szCs w:val="21"/>
                <w:highlight w:val="none"/>
                <w:lang w:eastAsia="zh-CN"/>
              </w:rPr>
              <w:t>粘土矿直接</w:t>
            </w:r>
            <w:r>
              <w:rPr>
                <w:rFonts w:hint="eastAsia" w:ascii="Times New Roman" w:hAnsi="Times New Roman" w:cs="Times New Roman"/>
                <w:color w:val="auto"/>
                <w:sz w:val="21"/>
                <w:szCs w:val="21"/>
                <w:highlight w:val="none"/>
                <w:lang w:eastAsia="zh-CN"/>
              </w:rPr>
              <w:t>运送</w:t>
            </w:r>
            <w:r>
              <w:rPr>
                <w:rFonts w:ascii="Times New Roman" w:hAnsi="Times New Roman" w:cs="Times New Roman"/>
                <w:color w:val="auto"/>
                <w:sz w:val="21"/>
                <w:szCs w:val="21"/>
                <w:highlight w:val="none"/>
                <w:lang w:eastAsia="zh-CN"/>
              </w:rPr>
              <w:t>至</w:t>
            </w:r>
            <w:r>
              <w:rPr>
                <w:rFonts w:hint="eastAsia" w:ascii="Times New Roman" w:hAnsi="Times New Roman" w:cs="Times New Roman"/>
                <w:color w:val="auto"/>
                <w:sz w:val="21"/>
                <w:szCs w:val="21"/>
                <w:highlight w:val="none"/>
                <w:lang w:eastAsia="zh-CN"/>
              </w:rPr>
              <w:t>砖厂</w:t>
            </w:r>
            <w:r>
              <w:rPr>
                <w:rFonts w:ascii="Times New Roman" w:hAnsi="Times New Roman" w:cs="Times New Roman"/>
                <w:color w:val="auto"/>
                <w:sz w:val="21"/>
                <w:szCs w:val="21"/>
                <w:highlight w:val="none"/>
                <w:lang w:eastAsia="zh-CN"/>
              </w:rPr>
              <w:t>用作制砖原料，</w:t>
            </w:r>
            <w:r>
              <w:rPr>
                <w:rFonts w:hint="eastAsia" w:ascii="Times New Roman" w:hAnsi="Times New Roman" w:cs="Times New Roman"/>
                <w:color w:val="auto"/>
                <w:sz w:val="21"/>
                <w:szCs w:val="21"/>
                <w:highlight w:val="none"/>
                <w:lang w:eastAsia="zh-CN"/>
              </w:rPr>
              <w:t>项目</w:t>
            </w:r>
            <w:r>
              <w:rPr>
                <w:rFonts w:ascii="Times New Roman" w:hAnsi="Times New Roman" w:cs="Times New Roman"/>
                <w:color w:val="auto"/>
                <w:sz w:val="21"/>
                <w:szCs w:val="21"/>
                <w:highlight w:val="none"/>
                <w:lang w:eastAsia="zh-CN"/>
              </w:rPr>
              <w:t>不设置粘土矿堆场</w:t>
            </w:r>
            <w:r>
              <w:rPr>
                <w:rFonts w:hint="eastAsia" w:ascii="Times New Roman" w:hAnsi="Times New Roman" w:cs="Times New Roman"/>
                <w:color w:val="auto"/>
                <w:sz w:val="21"/>
                <w:szCs w:val="21"/>
                <w:highlight w:val="none"/>
                <w:lang w:eastAsia="zh-CN"/>
              </w:rPr>
              <w:t>，粘土矿不在项目区</w:t>
            </w:r>
            <w:r>
              <w:rPr>
                <w:rFonts w:ascii="Times New Roman" w:hAnsi="Times New Roman" w:cs="Times New Roman"/>
                <w:color w:val="auto"/>
                <w:sz w:val="21"/>
                <w:szCs w:val="21"/>
                <w:highlight w:val="none"/>
                <w:lang w:eastAsia="zh-CN"/>
              </w:rPr>
              <w:t>内破碎、筛分。</w:t>
            </w:r>
            <w:r>
              <w:rPr>
                <w:rFonts w:hint="eastAsia" w:ascii="Times New Roman" w:hAnsi="Times New Roman" w:cs="Times New Roman"/>
                <w:color w:val="auto"/>
                <w:sz w:val="21"/>
                <w:szCs w:val="21"/>
                <w:highlight w:val="none"/>
                <w:lang w:eastAsia="zh-CN"/>
              </w:rPr>
              <w:t>项目运营期废气主要为：工艺</w:t>
            </w:r>
            <w:r>
              <w:rPr>
                <w:rFonts w:ascii="Times New Roman" w:hAnsi="Times New Roman" w:cs="Times New Roman"/>
                <w:color w:val="auto"/>
                <w:sz w:val="21"/>
                <w:szCs w:val="21"/>
                <w:highlight w:val="none"/>
                <w:lang w:eastAsia="zh-CN"/>
              </w:rPr>
              <w:t>扬尘（</w:t>
            </w:r>
            <w:r>
              <w:rPr>
                <w:rFonts w:hint="eastAsia" w:ascii="Times New Roman" w:hAnsi="Times New Roman" w:cs="Times New Roman"/>
                <w:color w:val="auto"/>
                <w:sz w:val="21"/>
                <w:szCs w:val="21"/>
                <w:highlight w:val="none"/>
                <w:lang w:eastAsia="zh-CN"/>
              </w:rPr>
              <w:t>采挖扬尘、装载扬尘</w:t>
            </w:r>
            <w:r>
              <w:rPr>
                <w:rFonts w:ascii="Times New Roman" w:hAnsi="Times New Roman" w:cs="Times New Roman"/>
                <w:color w:val="auto"/>
                <w:sz w:val="21"/>
                <w:szCs w:val="21"/>
                <w:highlight w:val="none"/>
                <w:lang w:eastAsia="zh-CN"/>
              </w:rPr>
              <w:t>）、交通扬尘</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尾气</w:t>
            </w:r>
            <w:r>
              <w:rPr>
                <w:rFonts w:hint="eastAsia" w:ascii="Times New Roman" w:hAnsi="Times New Roman" w:cs="Times New Roman"/>
                <w:color w:val="auto"/>
                <w:sz w:val="21"/>
                <w:szCs w:val="21"/>
                <w:highlight w:val="none"/>
                <w:lang w:eastAsia="zh-CN"/>
              </w:rPr>
              <w:t>（机械</w:t>
            </w:r>
            <w:r>
              <w:rPr>
                <w:rFonts w:ascii="Times New Roman" w:hAnsi="Times New Roman" w:cs="Times New Roman"/>
                <w:color w:val="auto"/>
                <w:sz w:val="21"/>
                <w:szCs w:val="21"/>
                <w:highlight w:val="none"/>
                <w:lang w:eastAsia="zh-CN"/>
              </w:rPr>
              <w:t>设备、车辆</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（1）工艺</w:t>
            </w:r>
            <w:r>
              <w:rPr>
                <w:rFonts w:ascii="Times New Roman" w:hAnsi="Times New Roman" w:cs="Times New Roman"/>
                <w:color w:val="auto"/>
                <w:sz w:val="21"/>
                <w:szCs w:val="21"/>
                <w:highlight w:val="none"/>
                <w:lang w:eastAsia="zh-CN"/>
              </w:rPr>
              <w:t>扬尘</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①采挖扬尘</w:t>
            </w:r>
          </w:p>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eastAsiaTheme="minorEastAsia"/>
                <w:color w:val="auto"/>
                <w:sz w:val="21"/>
                <w:szCs w:val="21"/>
                <w:highlight w:val="none"/>
                <w:lang w:eastAsia="zh-CN"/>
              </w:rPr>
            </w:pPr>
            <w:r>
              <w:rPr>
                <w:rFonts w:ascii="Times New Roman" w:hAnsi="Times New Roman" w:cs="Times New Roman"/>
                <w:b/>
                <w:color w:val="auto"/>
                <w:kern w:val="2"/>
                <w:sz w:val="21"/>
                <w:szCs w:val="21"/>
                <w:highlight w:val="none"/>
                <w:lang w:eastAsia="zh-CN"/>
              </w:rPr>
              <w:t>表</w:t>
            </w:r>
            <w:r>
              <w:rPr>
                <w:rFonts w:hint="eastAsia" w:ascii="Times New Roman" w:hAnsi="Times New Roman" w:cs="Times New Roman"/>
                <w:b/>
                <w:color w:val="auto"/>
                <w:kern w:val="2"/>
                <w:sz w:val="21"/>
                <w:szCs w:val="21"/>
                <w:highlight w:val="none"/>
                <w:lang w:val="en-US" w:eastAsia="zh-CN"/>
              </w:rPr>
              <w:t>4-1</w:t>
            </w:r>
            <w:r>
              <w:rPr>
                <w:rFonts w:ascii="Times New Roman" w:hAnsi="Times New Roman" w:cs="Times New Roman"/>
                <w:b/>
                <w:color w:val="auto"/>
                <w:kern w:val="2"/>
                <w:sz w:val="21"/>
                <w:szCs w:val="21"/>
                <w:highlight w:val="none"/>
                <w:lang w:eastAsia="zh-CN"/>
              </w:rPr>
              <w:t xml:space="preserve">    1019</w:t>
            </w:r>
            <w:r>
              <w:rPr>
                <w:rFonts w:hint="eastAsia" w:ascii="Times New Roman" w:hAnsi="Times New Roman" w:cs="Times New Roman"/>
                <w:b/>
                <w:color w:val="auto"/>
                <w:kern w:val="2"/>
                <w:sz w:val="21"/>
                <w:szCs w:val="21"/>
                <w:highlight w:val="none"/>
                <w:lang w:eastAsia="zh-CN"/>
              </w:rPr>
              <w:t>粘土及其他土砂石开采行业系数</w:t>
            </w:r>
            <w:r>
              <w:rPr>
                <w:rFonts w:ascii="Times New Roman" w:hAnsi="Times New Roman" w:cs="Times New Roman"/>
                <w:b/>
                <w:color w:val="auto"/>
                <w:kern w:val="2"/>
                <w:sz w:val="21"/>
                <w:szCs w:val="21"/>
                <w:highlight w:val="none"/>
                <w:lang w:eastAsia="zh-CN"/>
              </w:rPr>
              <w:t>表</w:t>
            </w:r>
          </w:p>
          <w:tbl>
            <w:tblPr>
              <w:tblStyle w:val="15"/>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99"/>
              <w:gridCol w:w="698"/>
              <w:gridCol w:w="698"/>
              <w:gridCol w:w="696"/>
              <w:gridCol w:w="1392"/>
              <w:gridCol w:w="698"/>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ascii="Times New Roman" w:hAnsi="Times New Roman" w:cs="Times New Roman" w:eastAsiaTheme="minorEastAsia"/>
                      <w:b/>
                      <w:color w:val="auto"/>
                      <w:sz w:val="21"/>
                      <w:szCs w:val="21"/>
                      <w:highlight w:val="none"/>
                      <w:lang w:eastAsia="zh-CN"/>
                    </w:rPr>
                  </w:pPr>
                  <w:r>
                    <w:rPr>
                      <w:rFonts w:hint="eastAsia" w:ascii="Times New Roman" w:hAnsi="Times New Roman" w:cs="Times New Roman" w:eastAsiaTheme="minorEastAsia"/>
                      <w:b/>
                      <w:color w:val="auto"/>
                      <w:sz w:val="21"/>
                      <w:szCs w:val="21"/>
                      <w:highlight w:val="none"/>
                      <w:lang w:eastAsia="zh-CN"/>
                    </w:rPr>
                    <w:t>工段</w:t>
                  </w:r>
                </w:p>
                <w:p>
                  <w:pPr>
                    <w:jc w:val="center"/>
                    <w:rPr>
                      <w:rFonts w:ascii="Times New Roman" w:hAnsi="Times New Roman" w:cs="Times New Roman" w:eastAsiaTheme="minorEastAsia"/>
                      <w:b/>
                      <w:color w:val="auto"/>
                      <w:sz w:val="21"/>
                      <w:szCs w:val="21"/>
                      <w:highlight w:val="none"/>
                      <w:lang w:eastAsia="zh-CN"/>
                    </w:rPr>
                  </w:pPr>
                  <w:r>
                    <w:rPr>
                      <w:rFonts w:ascii="Times New Roman" w:hAnsi="Times New Roman" w:cs="Times New Roman" w:eastAsiaTheme="minorEastAsia"/>
                      <w:b/>
                      <w:color w:val="auto"/>
                      <w:sz w:val="21"/>
                      <w:szCs w:val="21"/>
                      <w:highlight w:val="none"/>
                      <w:lang w:eastAsia="zh-CN"/>
                    </w:rPr>
                    <w:t>名称</w:t>
                  </w:r>
                </w:p>
              </w:tc>
              <w:tc>
                <w:tcPr>
                  <w:tcW w:w="699" w:type="dxa"/>
                  <w:vAlign w:val="center"/>
                </w:tcPr>
                <w:p>
                  <w:pPr>
                    <w:jc w:val="center"/>
                    <w:rPr>
                      <w:rFonts w:ascii="Times New Roman" w:hAnsi="Times New Roman" w:cs="Times New Roman" w:eastAsiaTheme="minorEastAsia"/>
                      <w:b/>
                      <w:color w:val="auto"/>
                      <w:sz w:val="21"/>
                      <w:szCs w:val="21"/>
                      <w:highlight w:val="none"/>
                      <w:lang w:eastAsia="zh-CN"/>
                    </w:rPr>
                  </w:pPr>
                  <w:r>
                    <w:rPr>
                      <w:rFonts w:ascii="Times New Roman" w:hAnsi="Times New Roman" w:cs="Times New Roman" w:eastAsiaTheme="minorEastAsia"/>
                      <w:b/>
                      <w:color w:val="auto"/>
                      <w:sz w:val="21"/>
                      <w:szCs w:val="21"/>
                      <w:highlight w:val="none"/>
                      <w:lang w:eastAsia="zh-CN"/>
                    </w:rPr>
                    <w:t>原料</w:t>
                  </w:r>
                </w:p>
                <w:p>
                  <w:pPr>
                    <w:jc w:val="center"/>
                    <w:rPr>
                      <w:rFonts w:ascii="Times New Roman" w:hAnsi="Times New Roman" w:cs="Times New Roman" w:eastAsiaTheme="minorEastAsia"/>
                      <w:b/>
                      <w:color w:val="auto"/>
                      <w:sz w:val="21"/>
                      <w:szCs w:val="21"/>
                      <w:highlight w:val="none"/>
                      <w:lang w:eastAsia="zh-CN"/>
                    </w:rPr>
                  </w:pPr>
                  <w:r>
                    <w:rPr>
                      <w:rFonts w:ascii="Times New Roman" w:hAnsi="Times New Roman" w:cs="Times New Roman" w:eastAsiaTheme="minorEastAsia"/>
                      <w:b/>
                      <w:color w:val="auto"/>
                      <w:sz w:val="21"/>
                      <w:szCs w:val="21"/>
                      <w:highlight w:val="none"/>
                      <w:lang w:eastAsia="zh-CN"/>
                    </w:rPr>
                    <w:t>名称</w:t>
                  </w:r>
                </w:p>
              </w:tc>
              <w:tc>
                <w:tcPr>
                  <w:tcW w:w="699" w:type="dxa"/>
                  <w:vAlign w:val="center"/>
                </w:tcPr>
                <w:p>
                  <w:pPr>
                    <w:jc w:val="center"/>
                    <w:rPr>
                      <w:rFonts w:ascii="Times New Roman" w:hAnsi="Times New Roman" w:cs="Times New Roman" w:eastAsiaTheme="minorEastAsia"/>
                      <w:b/>
                      <w:color w:val="auto"/>
                      <w:sz w:val="21"/>
                      <w:szCs w:val="21"/>
                      <w:highlight w:val="none"/>
                      <w:lang w:eastAsia="zh-CN"/>
                    </w:rPr>
                  </w:pPr>
                  <w:r>
                    <w:rPr>
                      <w:rFonts w:ascii="Times New Roman" w:hAnsi="Times New Roman" w:cs="Times New Roman" w:eastAsiaTheme="minorEastAsia"/>
                      <w:b/>
                      <w:color w:val="auto"/>
                      <w:sz w:val="21"/>
                      <w:szCs w:val="21"/>
                      <w:highlight w:val="none"/>
                      <w:lang w:eastAsia="zh-CN"/>
                    </w:rPr>
                    <w:t>工艺名称</w:t>
                  </w:r>
                </w:p>
              </w:tc>
              <w:tc>
                <w:tcPr>
                  <w:tcW w:w="698" w:type="dxa"/>
                  <w:vAlign w:val="center"/>
                </w:tcPr>
                <w:p>
                  <w:pPr>
                    <w:jc w:val="center"/>
                    <w:rPr>
                      <w:rFonts w:ascii="Times New Roman" w:hAnsi="Times New Roman" w:cs="Times New Roman" w:eastAsiaTheme="minorEastAsia"/>
                      <w:b/>
                      <w:color w:val="auto"/>
                      <w:sz w:val="21"/>
                      <w:szCs w:val="21"/>
                      <w:highlight w:val="none"/>
                      <w:lang w:eastAsia="zh-CN"/>
                    </w:rPr>
                  </w:pPr>
                  <w:r>
                    <w:rPr>
                      <w:rFonts w:ascii="Times New Roman" w:hAnsi="Times New Roman" w:cs="Times New Roman" w:eastAsiaTheme="minorEastAsia"/>
                      <w:b/>
                      <w:color w:val="auto"/>
                      <w:sz w:val="21"/>
                      <w:szCs w:val="21"/>
                      <w:highlight w:val="none"/>
                      <w:lang w:eastAsia="zh-CN"/>
                    </w:rPr>
                    <w:t>规模等级</w:t>
                  </w:r>
                </w:p>
              </w:tc>
              <w:tc>
                <w:tcPr>
                  <w:tcW w:w="1394" w:type="dxa"/>
                  <w:gridSpan w:val="2"/>
                  <w:vAlign w:val="center"/>
                </w:tcPr>
                <w:p>
                  <w:pPr>
                    <w:jc w:val="center"/>
                    <w:rPr>
                      <w:rFonts w:ascii="Times New Roman" w:hAnsi="Times New Roman" w:cs="Times New Roman" w:eastAsiaTheme="minorEastAsia"/>
                      <w:b/>
                      <w:color w:val="auto"/>
                      <w:sz w:val="21"/>
                      <w:szCs w:val="21"/>
                      <w:highlight w:val="none"/>
                      <w:lang w:eastAsia="zh-CN"/>
                    </w:rPr>
                  </w:pPr>
                  <w:r>
                    <w:rPr>
                      <w:rFonts w:ascii="Times New Roman" w:hAnsi="Times New Roman" w:cs="Times New Roman" w:eastAsiaTheme="minorEastAsia"/>
                      <w:b/>
                      <w:color w:val="auto"/>
                      <w:sz w:val="21"/>
                      <w:szCs w:val="21"/>
                      <w:highlight w:val="none"/>
                      <w:lang w:eastAsia="zh-CN"/>
                    </w:rPr>
                    <w:t>污染物指标</w:t>
                  </w:r>
                </w:p>
              </w:tc>
              <w:tc>
                <w:tcPr>
                  <w:tcW w:w="1392" w:type="dxa"/>
                  <w:vAlign w:val="center"/>
                </w:tcPr>
                <w:p>
                  <w:pPr>
                    <w:jc w:val="center"/>
                    <w:rPr>
                      <w:rFonts w:ascii="Times New Roman" w:hAnsi="Times New Roman" w:cs="Times New Roman" w:eastAsiaTheme="minorEastAsia"/>
                      <w:b/>
                      <w:color w:val="auto"/>
                      <w:sz w:val="21"/>
                      <w:szCs w:val="21"/>
                      <w:highlight w:val="none"/>
                      <w:lang w:eastAsia="zh-CN"/>
                    </w:rPr>
                  </w:pPr>
                  <w:r>
                    <w:rPr>
                      <w:rFonts w:ascii="Times New Roman" w:hAnsi="Times New Roman" w:cs="Times New Roman" w:eastAsiaTheme="minorEastAsia"/>
                      <w:b/>
                      <w:color w:val="auto"/>
                      <w:sz w:val="21"/>
                      <w:szCs w:val="21"/>
                      <w:highlight w:val="none"/>
                      <w:lang w:eastAsia="zh-CN"/>
                    </w:rPr>
                    <w:t>系数单位</w:t>
                  </w:r>
                </w:p>
              </w:tc>
              <w:tc>
                <w:tcPr>
                  <w:tcW w:w="698" w:type="dxa"/>
                  <w:vAlign w:val="center"/>
                </w:tcPr>
                <w:p>
                  <w:pPr>
                    <w:jc w:val="center"/>
                    <w:rPr>
                      <w:rFonts w:ascii="Times New Roman" w:hAnsi="Times New Roman" w:cs="Times New Roman" w:eastAsiaTheme="minorEastAsia"/>
                      <w:b/>
                      <w:color w:val="auto"/>
                      <w:sz w:val="21"/>
                      <w:szCs w:val="21"/>
                      <w:highlight w:val="none"/>
                      <w:lang w:eastAsia="zh-CN"/>
                    </w:rPr>
                  </w:pPr>
                  <w:r>
                    <w:rPr>
                      <w:rFonts w:ascii="Times New Roman" w:hAnsi="Times New Roman" w:cs="Times New Roman" w:eastAsiaTheme="minorEastAsia"/>
                      <w:b/>
                      <w:color w:val="auto"/>
                      <w:sz w:val="21"/>
                      <w:szCs w:val="21"/>
                      <w:highlight w:val="none"/>
                      <w:lang w:eastAsia="zh-CN"/>
                    </w:rPr>
                    <w:t>产污系数</w:t>
                  </w:r>
                </w:p>
              </w:tc>
              <w:tc>
                <w:tcPr>
                  <w:tcW w:w="2339" w:type="dxa"/>
                  <w:vAlign w:val="center"/>
                </w:tcPr>
                <w:p>
                  <w:pPr>
                    <w:jc w:val="center"/>
                    <w:rPr>
                      <w:rFonts w:ascii="Times New Roman" w:hAnsi="Times New Roman" w:cs="Times New Roman" w:eastAsiaTheme="minorEastAsia"/>
                      <w:b/>
                      <w:color w:val="auto"/>
                      <w:sz w:val="21"/>
                      <w:szCs w:val="21"/>
                      <w:highlight w:val="none"/>
                      <w:lang w:eastAsia="zh-CN"/>
                    </w:rPr>
                  </w:pPr>
                  <w:r>
                    <w:rPr>
                      <w:rFonts w:hint="eastAsia" w:ascii="Times New Roman" w:hAnsi="Times New Roman" w:cs="Times New Roman" w:eastAsiaTheme="minorEastAsia"/>
                      <w:b/>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开采</w:t>
                  </w:r>
                </w:p>
              </w:tc>
              <w:tc>
                <w:tcPr>
                  <w:tcW w:w="699"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膨润土原矿</w:t>
                  </w:r>
                </w:p>
              </w:tc>
              <w:tc>
                <w:tcPr>
                  <w:tcW w:w="699"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露天开采</w:t>
                  </w:r>
                </w:p>
              </w:tc>
              <w:tc>
                <w:tcPr>
                  <w:tcW w:w="698"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所有规模</w:t>
                  </w:r>
                </w:p>
              </w:tc>
              <w:tc>
                <w:tcPr>
                  <w:tcW w:w="698" w:type="dxa"/>
                  <w:vAlign w:val="center"/>
                </w:tcPr>
                <w:p>
                  <w:pPr>
                    <w:jc w:val="center"/>
                    <w:rPr>
                      <w:rFonts w:ascii="Times New Roman" w:hAnsi="Times New Roman" w:cs="Times New Roman" w:eastAsiaTheme="minorEastAsia"/>
                      <w:color w:val="auto"/>
                      <w:sz w:val="21"/>
                      <w:szCs w:val="21"/>
                      <w:highlight w:val="none"/>
                      <w:lang w:eastAsia="zh-CN"/>
                    </w:rPr>
                  </w:pPr>
                  <w:r>
                    <w:rPr>
                      <w:rFonts w:ascii="Times New Roman" w:hAnsi="Times New Roman" w:cs="Times New Roman" w:eastAsiaTheme="minorEastAsia"/>
                      <w:color w:val="auto"/>
                      <w:sz w:val="21"/>
                      <w:szCs w:val="21"/>
                      <w:highlight w:val="none"/>
                      <w:lang w:eastAsia="zh-CN"/>
                    </w:rPr>
                    <w:t>废气</w:t>
                  </w:r>
                </w:p>
              </w:tc>
              <w:tc>
                <w:tcPr>
                  <w:tcW w:w="696"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颗粒物</w:t>
                  </w:r>
                </w:p>
              </w:tc>
              <w:tc>
                <w:tcPr>
                  <w:tcW w:w="1392"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千克</w:t>
                  </w:r>
                  <w:r>
                    <w:rPr>
                      <w:rFonts w:ascii="Times New Roman" w:hAnsi="Times New Roman" w:cs="Times New Roman" w:eastAsiaTheme="minorEastAsia"/>
                      <w:color w:val="auto"/>
                      <w:sz w:val="21"/>
                      <w:szCs w:val="21"/>
                      <w:highlight w:val="none"/>
                      <w:lang w:eastAsia="zh-CN"/>
                    </w:rPr>
                    <w:t>/</w:t>
                  </w:r>
                  <w:r>
                    <w:rPr>
                      <w:rFonts w:hint="eastAsia" w:ascii="Times New Roman" w:hAnsi="Times New Roman" w:cs="Times New Roman" w:eastAsiaTheme="minorEastAsia"/>
                      <w:color w:val="auto"/>
                      <w:sz w:val="21"/>
                      <w:szCs w:val="21"/>
                      <w:highlight w:val="none"/>
                      <w:lang w:eastAsia="zh-CN"/>
                    </w:rPr>
                    <w:t>吨产品</w:t>
                  </w:r>
                </w:p>
              </w:tc>
              <w:tc>
                <w:tcPr>
                  <w:tcW w:w="698" w:type="dxa"/>
                  <w:vAlign w:val="center"/>
                </w:tcPr>
                <w:p>
                  <w:pPr>
                    <w:jc w:val="center"/>
                    <w:rPr>
                      <w:rFonts w:ascii="Times New Roman" w:hAnsi="Times New Roman" w:cs="Times New Roman" w:eastAsiaTheme="minorEastAsia"/>
                      <w:color w:val="auto"/>
                      <w:sz w:val="21"/>
                      <w:szCs w:val="21"/>
                      <w:highlight w:val="none"/>
                      <w:lang w:eastAsia="zh-CN"/>
                    </w:rPr>
                  </w:pPr>
                  <w:r>
                    <w:rPr>
                      <w:rFonts w:ascii="Times New Roman" w:hAnsi="Times New Roman" w:cs="Times New Roman" w:eastAsiaTheme="minorEastAsia"/>
                      <w:color w:val="auto"/>
                      <w:sz w:val="21"/>
                      <w:szCs w:val="21"/>
                      <w:highlight w:val="none"/>
                      <w:lang w:eastAsia="zh-CN"/>
                    </w:rPr>
                    <w:t>0.082</w:t>
                  </w:r>
                </w:p>
              </w:tc>
              <w:tc>
                <w:tcPr>
                  <w:tcW w:w="2339"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“砖瓦用粘土”参考“膨润土”开采的产污系数</w:t>
                  </w:r>
                </w:p>
              </w:tc>
            </w:tr>
          </w:tbl>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粘土矿开采主要是通过挖掘机进行采掘</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根据《1</w:t>
            </w:r>
            <w:r>
              <w:rPr>
                <w:rFonts w:ascii="Times New Roman" w:hAnsi="Times New Roman" w:cs="Times New Roman"/>
                <w:color w:val="auto"/>
                <w:sz w:val="21"/>
                <w:szCs w:val="21"/>
                <w:highlight w:val="none"/>
                <w:lang w:eastAsia="zh-CN"/>
              </w:rPr>
              <w:t>019</w:t>
            </w:r>
            <w:r>
              <w:rPr>
                <w:rFonts w:hint="eastAsia" w:ascii="Times New Roman" w:hAnsi="Times New Roman" w:cs="Times New Roman"/>
                <w:color w:val="auto"/>
                <w:sz w:val="21"/>
                <w:szCs w:val="21"/>
                <w:highlight w:val="none"/>
                <w:lang w:eastAsia="zh-CN"/>
              </w:rPr>
              <w:t>粘土</w:t>
            </w:r>
            <w:r>
              <w:rPr>
                <w:rFonts w:ascii="Times New Roman" w:hAnsi="Times New Roman" w:cs="Times New Roman"/>
                <w:color w:val="auto"/>
                <w:sz w:val="21"/>
                <w:szCs w:val="21"/>
                <w:highlight w:val="none"/>
                <w:lang w:eastAsia="zh-CN"/>
              </w:rPr>
              <w:t>及其他土砂石开采行业系数手册</w:t>
            </w:r>
            <w:r>
              <w:rPr>
                <w:rFonts w:hint="eastAsia" w:ascii="Times New Roman" w:hAnsi="Times New Roman" w:cs="Times New Roman"/>
                <w:color w:val="auto"/>
                <w:sz w:val="21"/>
                <w:szCs w:val="21"/>
                <w:highlight w:val="none"/>
                <w:lang w:eastAsia="zh-CN"/>
              </w:rPr>
              <w:t>》，粘土矿</w:t>
            </w:r>
            <w:r>
              <w:rPr>
                <w:rFonts w:ascii="Times New Roman" w:hAnsi="Times New Roman" w:cs="Times New Roman"/>
                <w:color w:val="auto"/>
                <w:sz w:val="21"/>
                <w:szCs w:val="21"/>
                <w:highlight w:val="none"/>
                <w:lang w:eastAsia="zh-CN"/>
              </w:rPr>
              <w:t>开采的颗粒物产污系数为</w:t>
            </w:r>
            <w:r>
              <w:rPr>
                <w:rFonts w:hint="eastAsia" w:ascii="Times New Roman" w:hAnsi="Times New Roman" w:cs="Times New Roman"/>
                <w:color w:val="auto"/>
                <w:sz w:val="21"/>
                <w:szCs w:val="21"/>
                <w:highlight w:val="none"/>
                <w:lang w:eastAsia="zh-CN"/>
              </w:rPr>
              <w:t>0.082千克/吨</w:t>
            </w:r>
            <w:r>
              <w:rPr>
                <w:rFonts w:ascii="Times New Roman" w:hAnsi="Times New Roman" w:cs="Times New Roman"/>
                <w:color w:val="auto"/>
                <w:sz w:val="21"/>
                <w:szCs w:val="21"/>
                <w:highlight w:val="none"/>
                <w:lang w:eastAsia="zh-CN"/>
              </w:rPr>
              <w:t>产品，</w:t>
            </w:r>
            <w:r>
              <w:rPr>
                <w:rFonts w:hint="eastAsia" w:ascii="Times New Roman" w:hAnsi="Times New Roman" w:cs="Times New Roman"/>
                <w:color w:val="auto"/>
                <w:sz w:val="21"/>
                <w:szCs w:val="21"/>
                <w:highlight w:val="none"/>
                <w:lang w:eastAsia="zh-CN"/>
              </w:rPr>
              <w:t>项目生产</w:t>
            </w:r>
            <w:r>
              <w:rPr>
                <w:rFonts w:ascii="Times New Roman" w:hAnsi="Times New Roman" w:cs="Times New Roman"/>
                <w:color w:val="auto"/>
                <w:sz w:val="21"/>
                <w:szCs w:val="21"/>
                <w:highlight w:val="none"/>
                <w:lang w:eastAsia="zh-CN"/>
              </w:rPr>
              <w:t>规模6</w:t>
            </w:r>
            <w:r>
              <w:rPr>
                <w:rFonts w:hint="eastAsia" w:ascii="Times New Roman" w:hAnsi="Times New Roman" w:cs="Times New Roman"/>
                <w:color w:val="auto"/>
                <w:sz w:val="21"/>
                <w:szCs w:val="21"/>
                <w:highlight w:val="none"/>
                <w:lang w:eastAsia="zh-CN"/>
              </w:rPr>
              <w:t>万</w:t>
            </w:r>
            <w:r>
              <w:rPr>
                <w:rFonts w:ascii="Times New Roman" w:hAnsi="Times New Roman" w:cs="Times New Roman"/>
                <w:color w:val="auto"/>
                <w:sz w:val="21"/>
                <w:szCs w:val="21"/>
                <w:highlight w:val="none"/>
                <w:lang w:eastAsia="zh-CN"/>
              </w:rPr>
              <w:t>m³/a，</w:t>
            </w:r>
            <w:r>
              <w:rPr>
                <w:rFonts w:hint="eastAsia" w:ascii="Times New Roman" w:hAnsi="Times New Roman" w:cs="Times New Roman"/>
                <w:color w:val="auto"/>
                <w:sz w:val="21"/>
                <w:szCs w:val="21"/>
                <w:highlight w:val="none"/>
                <w:lang w:eastAsia="zh-CN"/>
              </w:rPr>
              <w:t>粘土</w:t>
            </w:r>
            <w:r>
              <w:rPr>
                <w:rFonts w:ascii="Times New Roman" w:hAnsi="Times New Roman" w:cs="Times New Roman"/>
                <w:color w:val="auto"/>
                <w:sz w:val="21"/>
                <w:szCs w:val="21"/>
                <w:highlight w:val="none"/>
                <w:lang w:eastAsia="zh-CN"/>
              </w:rPr>
              <w:t>矿密度约为</w:t>
            </w:r>
            <w:r>
              <w:rPr>
                <w:rFonts w:hint="eastAsia" w:ascii="Times New Roman" w:hAnsi="Times New Roman" w:cs="Times New Roman"/>
                <w:color w:val="auto"/>
                <w:sz w:val="21"/>
                <w:szCs w:val="21"/>
                <w:highlight w:val="none"/>
                <w:lang w:eastAsia="zh-CN"/>
              </w:rPr>
              <w:t>1.5</w:t>
            </w:r>
            <w:r>
              <w:rPr>
                <w:rFonts w:ascii="Times New Roman" w:hAnsi="Times New Roman" w:cs="Times New Roman"/>
                <w:color w:val="auto"/>
                <w:sz w:val="21"/>
                <w:szCs w:val="21"/>
                <w:highlight w:val="none"/>
                <w:lang w:eastAsia="zh-CN"/>
              </w:rPr>
              <w:t>t/m³</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则粘土矿</w:t>
            </w:r>
            <w:r>
              <w:rPr>
                <w:rFonts w:hint="eastAsia" w:ascii="Times New Roman" w:hAnsi="Times New Roman" w:cs="Times New Roman"/>
                <w:color w:val="auto"/>
                <w:sz w:val="21"/>
                <w:szCs w:val="21"/>
                <w:highlight w:val="none"/>
                <w:lang w:eastAsia="zh-CN"/>
              </w:rPr>
              <w:t>产能</w:t>
            </w:r>
            <w:r>
              <w:rPr>
                <w:rFonts w:ascii="Times New Roman" w:hAnsi="Times New Roman" w:cs="Times New Roman"/>
                <w:color w:val="auto"/>
                <w:sz w:val="21"/>
                <w:szCs w:val="21"/>
                <w:highlight w:val="none"/>
                <w:lang w:eastAsia="zh-CN"/>
              </w:rPr>
              <w:t>为9</w:t>
            </w:r>
            <w:r>
              <w:rPr>
                <w:rFonts w:hint="eastAsia" w:ascii="Times New Roman" w:hAnsi="Times New Roman" w:cs="Times New Roman"/>
                <w:color w:val="auto"/>
                <w:sz w:val="21"/>
                <w:szCs w:val="21"/>
                <w:highlight w:val="none"/>
                <w:lang w:eastAsia="zh-CN"/>
              </w:rPr>
              <w:t>万</w:t>
            </w:r>
            <w:r>
              <w:rPr>
                <w:rFonts w:ascii="Times New Roman" w:hAnsi="Times New Roman" w:cs="Times New Roman"/>
                <w:color w:val="auto"/>
                <w:sz w:val="21"/>
                <w:szCs w:val="21"/>
                <w:highlight w:val="none"/>
                <w:lang w:eastAsia="zh-CN"/>
              </w:rPr>
              <w:t>t/a，</w:t>
            </w:r>
            <w:r>
              <w:rPr>
                <w:rFonts w:hint="eastAsia" w:ascii="Times New Roman" w:hAnsi="Times New Roman" w:cs="Times New Roman"/>
                <w:color w:val="auto"/>
                <w:sz w:val="21"/>
                <w:szCs w:val="21"/>
                <w:highlight w:val="none"/>
                <w:lang w:eastAsia="zh-CN"/>
              </w:rPr>
              <w:t>产生</w:t>
            </w:r>
            <w:r>
              <w:rPr>
                <w:rFonts w:ascii="Times New Roman" w:hAnsi="Times New Roman" w:cs="Times New Roman"/>
                <w:color w:val="auto"/>
                <w:sz w:val="21"/>
                <w:szCs w:val="21"/>
                <w:highlight w:val="none"/>
                <w:lang w:eastAsia="zh-CN"/>
              </w:rPr>
              <w:t>采矿扬尘7.38t/a。</w:t>
            </w:r>
            <w:r>
              <w:rPr>
                <w:rFonts w:hint="eastAsia" w:ascii="Times New Roman" w:hAnsi="Times New Roman" w:cs="Times New Roman"/>
                <w:color w:val="auto"/>
                <w:sz w:val="21"/>
                <w:szCs w:val="21"/>
                <w:highlight w:val="none"/>
                <w:lang w:eastAsia="zh-CN"/>
              </w:rPr>
              <w:t>项目开采</w:t>
            </w:r>
            <w:r>
              <w:rPr>
                <w:rFonts w:ascii="Times New Roman" w:hAnsi="Times New Roman" w:cs="Times New Roman"/>
                <w:color w:val="auto"/>
                <w:sz w:val="21"/>
                <w:szCs w:val="21"/>
                <w:highlight w:val="none"/>
                <w:lang w:eastAsia="zh-CN"/>
              </w:rPr>
              <w:t>过程中</w:t>
            </w:r>
            <w:r>
              <w:rPr>
                <w:rFonts w:hint="eastAsia" w:ascii="Times New Roman" w:hAnsi="Times New Roman" w:cs="Times New Roman"/>
                <w:color w:val="auto"/>
                <w:sz w:val="21"/>
                <w:szCs w:val="21"/>
                <w:highlight w:val="none"/>
                <w:lang w:eastAsia="zh-CN"/>
              </w:rPr>
              <w:t>对</w:t>
            </w:r>
            <w:r>
              <w:rPr>
                <w:rFonts w:ascii="Times New Roman" w:hAnsi="Times New Roman" w:cs="Times New Roman"/>
                <w:color w:val="auto"/>
                <w:sz w:val="21"/>
                <w:szCs w:val="21"/>
                <w:highlight w:val="none"/>
                <w:lang w:eastAsia="zh-CN"/>
              </w:rPr>
              <w:t>开采区域</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作业面</w:t>
            </w:r>
            <w:r>
              <w:rPr>
                <w:rFonts w:hint="eastAsia" w:ascii="Times New Roman" w:hAnsi="Times New Roman" w:cs="Times New Roman"/>
                <w:color w:val="auto"/>
                <w:sz w:val="21"/>
                <w:szCs w:val="21"/>
                <w:highlight w:val="none"/>
                <w:lang w:eastAsia="zh-CN"/>
              </w:rPr>
              <w:t>采取洒水车</w:t>
            </w:r>
            <w:r>
              <w:rPr>
                <w:rFonts w:ascii="Times New Roman" w:hAnsi="Times New Roman" w:cs="Times New Roman"/>
                <w:color w:val="auto"/>
                <w:sz w:val="21"/>
                <w:szCs w:val="21"/>
                <w:highlight w:val="none"/>
                <w:lang w:eastAsia="zh-CN"/>
              </w:rPr>
              <w:t>洒水抑尘</w:t>
            </w:r>
            <w:r>
              <w:rPr>
                <w:rFonts w:hint="eastAsia" w:ascii="Times New Roman" w:hAnsi="Times New Roman" w:cs="Times New Roman"/>
                <w:color w:val="auto"/>
                <w:sz w:val="21"/>
                <w:szCs w:val="21"/>
                <w:highlight w:val="none"/>
                <w:lang w:eastAsia="zh-CN"/>
              </w:rPr>
              <w:t>措施，抑尘效率可达</w:t>
            </w:r>
            <w:r>
              <w:rPr>
                <w:rFonts w:ascii="Times New Roman" w:hAnsi="Times New Roman" w:cs="Times New Roman"/>
                <w:color w:val="auto"/>
                <w:sz w:val="21"/>
                <w:szCs w:val="21"/>
                <w:highlight w:val="none"/>
                <w:lang w:eastAsia="zh-CN"/>
              </w:rPr>
              <w:t>90%左右，</w:t>
            </w:r>
            <w:r>
              <w:rPr>
                <w:rFonts w:hint="eastAsia" w:ascii="Times New Roman" w:hAnsi="Times New Roman" w:cs="Times New Roman"/>
                <w:color w:val="auto"/>
                <w:sz w:val="21"/>
                <w:szCs w:val="21"/>
                <w:highlight w:val="none"/>
                <w:lang w:eastAsia="zh-CN"/>
              </w:rPr>
              <w:t>则采挖</w:t>
            </w:r>
            <w:r>
              <w:rPr>
                <w:rFonts w:ascii="Times New Roman" w:hAnsi="Times New Roman" w:cs="Times New Roman"/>
                <w:color w:val="auto"/>
                <w:sz w:val="21"/>
                <w:szCs w:val="21"/>
                <w:highlight w:val="none"/>
                <w:lang w:eastAsia="zh-CN"/>
              </w:rPr>
              <w:t>扬尘排放量为0.74t/a。</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②装载</w:t>
            </w:r>
            <w:r>
              <w:rPr>
                <w:rFonts w:ascii="Times New Roman" w:hAnsi="Times New Roman" w:cs="Times New Roman"/>
                <w:color w:val="auto"/>
                <w:sz w:val="21"/>
                <w:szCs w:val="21"/>
                <w:highlight w:val="none"/>
                <w:lang w:eastAsia="zh-CN"/>
              </w:rPr>
              <w:t>扬尘</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铲车</w:t>
            </w:r>
            <w:r>
              <w:rPr>
                <w:rFonts w:ascii="Times New Roman" w:hAnsi="Times New Roman" w:cs="Times New Roman"/>
                <w:color w:val="auto"/>
                <w:sz w:val="21"/>
                <w:szCs w:val="21"/>
                <w:highlight w:val="none"/>
                <w:lang w:eastAsia="zh-CN"/>
              </w:rPr>
              <w:t>将粘土矿装入</w:t>
            </w:r>
            <w:r>
              <w:rPr>
                <w:rFonts w:hint="eastAsia" w:ascii="Times New Roman" w:hAnsi="Times New Roman" w:cs="Times New Roman"/>
                <w:color w:val="auto"/>
                <w:sz w:val="21"/>
                <w:szCs w:val="21"/>
                <w:highlight w:val="none"/>
                <w:lang w:eastAsia="zh-CN"/>
              </w:rPr>
              <w:t>自卸载重汽车</w:t>
            </w:r>
            <w:r>
              <w:rPr>
                <w:rFonts w:ascii="Times New Roman" w:hAnsi="Times New Roman" w:cs="Times New Roman"/>
                <w:color w:val="auto"/>
                <w:sz w:val="21"/>
                <w:szCs w:val="21"/>
                <w:highlight w:val="none"/>
                <w:lang w:eastAsia="zh-CN"/>
              </w:rPr>
              <w:t>会产生</w:t>
            </w:r>
            <w:r>
              <w:rPr>
                <w:rFonts w:hint="eastAsia" w:ascii="Times New Roman" w:hAnsi="Times New Roman" w:cs="Times New Roman"/>
                <w:color w:val="auto"/>
                <w:sz w:val="21"/>
                <w:szCs w:val="21"/>
                <w:highlight w:val="none"/>
                <w:lang w:eastAsia="zh-CN"/>
              </w:rPr>
              <w:t>装载</w:t>
            </w:r>
            <w:r>
              <w:rPr>
                <w:rFonts w:ascii="Times New Roman" w:hAnsi="Times New Roman" w:cs="Times New Roman"/>
                <w:color w:val="auto"/>
                <w:sz w:val="21"/>
                <w:szCs w:val="21"/>
                <w:highlight w:val="none"/>
                <w:lang w:eastAsia="zh-CN"/>
              </w:rPr>
              <w:t>扬尘，</w:t>
            </w:r>
            <w:r>
              <w:rPr>
                <w:rFonts w:hint="eastAsia" w:ascii="Times New Roman" w:hAnsi="Times New Roman" w:cs="Times New Roman"/>
                <w:color w:val="auto"/>
                <w:sz w:val="21"/>
                <w:szCs w:val="21"/>
                <w:highlight w:val="none"/>
                <w:lang w:eastAsia="zh-CN"/>
              </w:rPr>
              <w:t>其</w:t>
            </w:r>
            <w:r>
              <w:rPr>
                <w:rFonts w:ascii="Times New Roman" w:hAnsi="Times New Roman" w:cs="Times New Roman"/>
                <w:color w:val="auto"/>
                <w:sz w:val="21"/>
                <w:szCs w:val="21"/>
                <w:highlight w:val="none"/>
                <w:lang w:eastAsia="zh-CN"/>
              </w:rPr>
              <w:t>产生量按如下公司计算：</w:t>
            </w:r>
          </w:p>
          <w:p>
            <w:pPr>
              <w:pStyle w:val="18"/>
              <w:spacing w:line="360" w:lineRule="auto"/>
              <w:jc w:val="center"/>
              <w:rPr>
                <w:rFonts w:ascii="Times New Roman" w:hAnsi="Times New Roman" w:cs="Times New Roman"/>
                <w:color w:val="auto"/>
                <w:sz w:val="21"/>
                <w:szCs w:val="21"/>
                <w:highlight w:val="none"/>
                <w:lang w:eastAsia="zh-CN"/>
              </w:rPr>
            </w:pPr>
            <w:r>
              <w:rPr>
                <w:rFonts w:ascii="Times New Roman" w:hAnsi="Times New Roman" w:eastAsia="等线" w:cs="Times New Roman"/>
                <w:color w:val="auto"/>
                <w:kern w:val="2"/>
                <w:sz w:val="21"/>
                <w:szCs w:val="21"/>
                <w:highlight w:val="none"/>
                <w:lang w:eastAsia="zh-CN"/>
              </w:rPr>
              <w:drawing>
                <wp:inline distT="0" distB="0" distL="0" distR="0">
                  <wp:extent cx="2295525" cy="2406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25761" cy="244084"/>
                          </a:xfrm>
                          <a:prstGeom prst="rect">
                            <a:avLst/>
                          </a:prstGeom>
                          <a:noFill/>
                        </pic:spPr>
                      </pic:pic>
                    </a:graphicData>
                  </a:graphic>
                </wp:inline>
              </w:drawing>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式中：</w:t>
            </w:r>
            <w:r>
              <w:rPr>
                <w:rFonts w:ascii="Times New Roman" w:hAnsi="Times New Roman" w:cs="Times New Roman"/>
                <w:color w:val="auto"/>
                <w:sz w:val="21"/>
                <w:szCs w:val="21"/>
                <w:highlight w:val="none"/>
                <w:lang w:eastAsia="zh-CN"/>
              </w:rPr>
              <w:t>Q — 扬尘量，kg/h；</w:t>
            </w:r>
          </w:p>
          <w:p>
            <w:pPr>
              <w:pStyle w:val="18"/>
              <w:spacing w:line="360" w:lineRule="auto"/>
              <w:ind w:firstLine="1050" w:firstLineChars="5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H — 物料装车高度，m；</w:t>
            </w:r>
          </w:p>
          <w:p>
            <w:pPr>
              <w:pStyle w:val="18"/>
              <w:spacing w:line="360" w:lineRule="auto"/>
              <w:ind w:firstLine="1050" w:firstLineChars="5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U — 风速，m/s；</w:t>
            </w:r>
          </w:p>
          <w:p>
            <w:pPr>
              <w:pStyle w:val="18"/>
              <w:spacing w:line="360" w:lineRule="auto"/>
              <w:ind w:firstLine="1050" w:firstLineChars="5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W — 湿度，%；</w:t>
            </w:r>
          </w:p>
          <w:p>
            <w:pPr>
              <w:pStyle w:val="18"/>
              <w:spacing w:line="360" w:lineRule="auto"/>
              <w:ind w:firstLine="1050" w:firstLineChars="5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M — 装卸量，t/h</w:t>
            </w:r>
            <w:r>
              <w:rPr>
                <w:rFonts w:hint="eastAsia" w:ascii="Times New Roman" w:hAnsi="Times New Roman" w:cs="Times New Roman"/>
                <w:color w:val="auto"/>
                <w:sz w:val="21"/>
                <w:szCs w:val="21"/>
                <w:highlight w:val="none"/>
                <w:lang w:eastAsia="zh-CN"/>
              </w:rPr>
              <w:t>。</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粘土矿</w:t>
            </w:r>
            <w:r>
              <w:rPr>
                <w:rFonts w:ascii="Times New Roman" w:hAnsi="Times New Roman" w:cs="Times New Roman"/>
                <w:color w:val="auto"/>
                <w:sz w:val="21"/>
                <w:szCs w:val="21"/>
                <w:highlight w:val="none"/>
                <w:lang w:eastAsia="zh-CN"/>
              </w:rPr>
              <w:t>装车高度取2m，</w:t>
            </w:r>
            <w:r>
              <w:rPr>
                <w:rFonts w:hint="eastAsia" w:ascii="Times New Roman" w:hAnsi="Times New Roman" w:cs="Times New Roman"/>
                <w:color w:val="auto"/>
                <w:sz w:val="21"/>
                <w:szCs w:val="21"/>
                <w:highlight w:val="none"/>
                <w:lang w:eastAsia="zh-CN"/>
              </w:rPr>
              <w:t>项目区域</w:t>
            </w:r>
            <w:r>
              <w:rPr>
                <w:rFonts w:ascii="Times New Roman" w:hAnsi="Times New Roman" w:cs="Times New Roman"/>
                <w:color w:val="auto"/>
                <w:sz w:val="21"/>
                <w:szCs w:val="21"/>
                <w:highlight w:val="none"/>
                <w:lang w:eastAsia="zh-CN"/>
              </w:rPr>
              <w:t>多年平均风速</w:t>
            </w:r>
            <w:r>
              <w:rPr>
                <w:rFonts w:hint="eastAsia"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eastAsia="zh-CN"/>
              </w:rPr>
              <w:t>.5</w:t>
            </w:r>
            <w:r>
              <w:rPr>
                <w:rFonts w:ascii="Times New Roman" w:hAnsi="Times New Roman" w:cs="Times New Roman"/>
                <w:color w:val="auto"/>
                <w:sz w:val="21"/>
                <w:szCs w:val="21"/>
                <w:highlight w:val="none"/>
                <w:lang w:eastAsia="zh-CN"/>
              </w:rPr>
              <w:t>m/s，</w:t>
            </w:r>
            <w:r>
              <w:rPr>
                <w:rFonts w:hint="eastAsia" w:ascii="Times New Roman" w:hAnsi="Times New Roman" w:cs="Times New Roman"/>
                <w:color w:val="auto"/>
                <w:sz w:val="21"/>
                <w:szCs w:val="21"/>
                <w:highlight w:val="none"/>
                <w:lang w:eastAsia="zh-CN"/>
              </w:rPr>
              <w:t>湿度</w:t>
            </w:r>
            <w:r>
              <w:rPr>
                <w:rFonts w:ascii="Times New Roman" w:hAnsi="Times New Roman" w:cs="Times New Roman"/>
                <w:color w:val="auto"/>
                <w:sz w:val="21"/>
                <w:szCs w:val="21"/>
                <w:highlight w:val="none"/>
                <w:lang w:eastAsia="zh-CN"/>
              </w:rPr>
              <w:t>约</w:t>
            </w:r>
            <w:r>
              <w:rPr>
                <w:rFonts w:hint="eastAsia" w:ascii="Times New Roman" w:hAnsi="Times New Roman" w:cs="Times New Roman"/>
                <w:color w:val="auto"/>
                <w:sz w:val="21"/>
                <w:szCs w:val="21"/>
                <w:highlight w:val="none"/>
                <w:lang w:eastAsia="zh-CN"/>
              </w:rPr>
              <w:t>10</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年开采天数2</w:t>
            </w:r>
            <w:r>
              <w:rPr>
                <w:rFonts w:hint="eastAsia" w:ascii="Times New Roman" w:hAnsi="Times New Roman" w:cs="Times New Roman"/>
                <w:color w:val="auto"/>
                <w:sz w:val="21"/>
                <w:szCs w:val="21"/>
                <w:highlight w:val="none"/>
                <w:lang w:val="en-US" w:eastAsia="zh-CN"/>
              </w:rPr>
              <w:t>5</w:t>
            </w:r>
            <w:r>
              <w:rPr>
                <w:rFonts w:hint="eastAsia" w:ascii="Times New Roman" w:hAnsi="Times New Roman" w:cs="Times New Roman"/>
                <w:color w:val="auto"/>
                <w:sz w:val="21"/>
                <w:szCs w:val="21"/>
                <w:highlight w:val="none"/>
                <w:lang w:eastAsia="zh-CN"/>
              </w:rPr>
              <w:t>0</w:t>
            </w:r>
            <w:r>
              <w:rPr>
                <w:rFonts w:ascii="Times New Roman" w:hAnsi="Times New Roman" w:cs="Times New Roman"/>
                <w:color w:val="auto"/>
                <w:sz w:val="21"/>
                <w:szCs w:val="21"/>
                <w:highlight w:val="none"/>
                <w:lang w:eastAsia="zh-CN"/>
              </w:rPr>
              <w:t>d，每天</w:t>
            </w:r>
            <w:r>
              <w:rPr>
                <w:rFonts w:hint="eastAsia" w:ascii="Times New Roman" w:hAnsi="Times New Roman" w:cs="Times New Roman"/>
                <w:color w:val="auto"/>
                <w:sz w:val="21"/>
                <w:szCs w:val="21"/>
                <w:highlight w:val="none"/>
                <w:lang w:val="en-US" w:eastAsia="zh-CN"/>
              </w:rPr>
              <w:t>8</w:t>
            </w:r>
            <w:r>
              <w:rPr>
                <w:rFonts w:ascii="Times New Roman" w:hAnsi="Times New Roman" w:cs="Times New Roman"/>
                <w:color w:val="auto"/>
                <w:sz w:val="21"/>
                <w:szCs w:val="21"/>
                <w:highlight w:val="none"/>
                <w:lang w:eastAsia="zh-CN"/>
              </w:rPr>
              <w:t>h，</w:t>
            </w:r>
            <w:r>
              <w:rPr>
                <w:rFonts w:hint="eastAsia" w:ascii="Times New Roman" w:hAnsi="Times New Roman" w:cs="Times New Roman"/>
                <w:color w:val="auto"/>
                <w:sz w:val="21"/>
                <w:szCs w:val="21"/>
                <w:highlight w:val="none"/>
                <w:lang w:eastAsia="zh-CN"/>
              </w:rPr>
              <w:t>则装卸量为</w:t>
            </w:r>
            <w:r>
              <w:rPr>
                <w:rFonts w:ascii="Times New Roman" w:hAnsi="Times New Roman" w:cs="Times New Roman"/>
                <w:color w:val="auto"/>
                <w:sz w:val="21"/>
                <w:szCs w:val="21"/>
                <w:highlight w:val="none"/>
                <w:lang w:eastAsia="zh-CN"/>
              </w:rPr>
              <w:t>45t/h</w:t>
            </w:r>
            <w:r>
              <w:rPr>
                <w:rFonts w:hint="eastAsia" w:ascii="Times New Roman" w:hAnsi="Times New Roman" w:cs="Times New Roman"/>
                <w:color w:val="auto"/>
                <w:sz w:val="21"/>
                <w:szCs w:val="21"/>
                <w:highlight w:val="none"/>
                <w:lang w:eastAsia="zh-CN"/>
              </w:rPr>
              <w:t>，经计算</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装载</w:t>
            </w:r>
            <w:r>
              <w:rPr>
                <w:rFonts w:ascii="Times New Roman" w:hAnsi="Times New Roman" w:cs="Times New Roman"/>
                <w:color w:val="auto"/>
                <w:sz w:val="21"/>
                <w:szCs w:val="21"/>
                <w:highlight w:val="none"/>
                <w:lang w:eastAsia="zh-CN"/>
              </w:rPr>
              <w:t>扬尘产生量为0.</w:t>
            </w:r>
            <w:r>
              <w:rPr>
                <w:rFonts w:hint="eastAsia" w:ascii="Times New Roman" w:hAnsi="Times New Roman" w:cs="Times New Roman"/>
                <w:color w:val="auto"/>
                <w:sz w:val="21"/>
                <w:szCs w:val="21"/>
                <w:highlight w:val="none"/>
                <w:lang w:val="en-US" w:eastAsia="zh-CN"/>
              </w:rPr>
              <w:t>4</w:t>
            </w:r>
            <w:r>
              <w:rPr>
                <w:rFonts w:ascii="Times New Roman" w:hAnsi="Times New Roman" w:cs="Times New Roman"/>
                <w:color w:val="auto"/>
                <w:sz w:val="21"/>
                <w:szCs w:val="21"/>
                <w:highlight w:val="none"/>
                <w:lang w:eastAsia="zh-CN"/>
              </w:rPr>
              <w:t>t/h</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80</w:t>
            </w:r>
            <w:r>
              <w:rPr>
                <w:rFonts w:ascii="Times New Roman" w:hAnsi="Times New Roman" w:cs="Times New Roman"/>
                <w:color w:val="auto"/>
                <w:sz w:val="21"/>
                <w:szCs w:val="21"/>
                <w:highlight w:val="none"/>
                <w:lang w:eastAsia="zh-CN"/>
              </w:rPr>
              <w:t>0t/a</w:t>
            </w:r>
            <w:r>
              <w:rPr>
                <w:rFonts w:hint="eastAsia" w:ascii="Times New Roman" w:hAnsi="Times New Roman" w:cs="Times New Roman"/>
                <w:color w:val="auto"/>
                <w:sz w:val="21"/>
                <w:szCs w:val="21"/>
                <w:highlight w:val="none"/>
                <w:lang w:eastAsia="zh-CN"/>
              </w:rPr>
              <w:t>）。装载</w:t>
            </w:r>
            <w:r>
              <w:rPr>
                <w:rFonts w:ascii="Times New Roman" w:hAnsi="Times New Roman" w:cs="Times New Roman"/>
                <w:color w:val="auto"/>
                <w:sz w:val="21"/>
                <w:szCs w:val="21"/>
                <w:highlight w:val="none"/>
                <w:lang w:eastAsia="zh-CN"/>
              </w:rPr>
              <w:t>过程中</w:t>
            </w:r>
            <w:r>
              <w:rPr>
                <w:rFonts w:hint="eastAsia" w:ascii="Times New Roman" w:hAnsi="Times New Roman" w:cs="Times New Roman"/>
                <w:color w:val="auto"/>
                <w:sz w:val="21"/>
                <w:szCs w:val="21"/>
                <w:highlight w:val="none"/>
                <w:lang w:eastAsia="zh-CN"/>
              </w:rPr>
              <w:t>控制</w:t>
            </w:r>
            <w:r>
              <w:rPr>
                <w:rFonts w:ascii="Times New Roman" w:hAnsi="Times New Roman" w:cs="Times New Roman"/>
                <w:color w:val="auto"/>
                <w:sz w:val="21"/>
                <w:szCs w:val="21"/>
                <w:highlight w:val="none"/>
                <w:lang w:eastAsia="zh-CN"/>
              </w:rPr>
              <w:t>高低落差，采取</w:t>
            </w:r>
            <w:r>
              <w:rPr>
                <w:rFonts w:hint="eastAsia" w:ascii="Times New Roman" w:hAnsi="Times New Roman" w:cs="Times New Roman"/>
                <w:color w:val="auto"/>
                <w:sz w:val="21"/>
                <w:szCs w:val="21"/>
                <w:highlight w:val="none"/>
                <w:lang w:eastAsia="zh-CN"/>
              </w:rPr>
              <w:t>雾炮机</w:t>
            </w:r>
            <w:r>
              <w:rPr>
                <w:rFonts w:ascii="Times New Roman" w:hAnsi="Times New Roman" w:cs="Times New Roman"/>
                <w:color w:val="auto"/>
                <w:sz w:val="21"/>
                <w:szCs w:val="21"/>
                <w:highlight w:val="none"/>
                <w:lang w:eastAsia="zh-CN"/>
              </w:rPr>
              <w:t>洒水抑尘措施，</w:t>
            </w:r>
            <w:r>
              <w:rPr>
                <w:rFonts w:hint="eastAsia" w:ascii="Times New Roman" w:hAnsi="Times New Roman" w:cs="Times New Roman"/>
                <w:color w:val="auto"/>
                <w:sz w:val="21"/>
                <w:szCs w:val="21"/>
                <w:highlight w:val="none"/>
                <w:lang w:eastAsia="zh-CN"/>
              </w:rPr>
              <w:t>可减少装载</w:t>
            </w:r>
            <w:r>
              <w:rPr>
                <w:rFonts w:ascii="Times New Roman" w:hAnsi="Times New Roman" w:cs="Times New Roman"/>
                <w:color w:val="auto"/>
                <w:sz w:val="21"/>
                <w:szCs w:val="21"/>
                <w:highlight w:val="none"/>
                <w:lang w:eastAsia="zh-CN"/>
              </w:rPr>
              <w:t>粉尘</w:t>
            </w:r>
            <w:r>
              <w:rPr>
                <w:rFonts w:hint="eastAsia" w:ascii="Times New Roman" w:hAnsi="Times New Roman" w:cs="Times New Roman"/>
                <w:color w:val="auto"/>
                <w:sz w:val="21"/>
                <w:szCs w:val="21"/>
                <w:highlight w:val="none"/>
                <w:lang w:eastAsia="zh-CN"/>
              </w:rPr>
              <w:t>约90</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，装载</w:t>
            </w:r>
            <w:r>
              <w:rPr>
                <w:rFonts w:ascii="Times New Roman" w:hAnsi="Times New Roman" w:cs="Times New Roman"/>
                <w:color w:val="auto"/>
                <w:sz w:val="21"/>
                <w:szCs w:val="21"/>
                <w:highlight w:val="none"/>
                <w:lang w:eastAsia="zh-CN"/>
              </w:rPr>
              <w:t>粉尘排放量为</w:t>
            </w:r>
            <w:r>
              <w:rPr>
                <w:rFonts w:hint="eastAsia" w:ascii="Times New Roman" w:hAnsi="Times New Roman" w:cs="Times New Roman"/>
                <w:color w:val="auto"/>
                <w:sz w:val="21"/>
                <w:szCs w:val="21"/>
                <w:highlight w:val="none"/>
                <w:lang w:val="en-US" w:eastAsia="zh-CN"/>
              </w:rPr>
              <w:t>80</w:t>
            </w:r>
            <w:r>
              <w:rPr>
                <w:rFonts w:ascii="Times New Roman" w:hAnsi="Times New Roman" w:cs="Times New Roman"/>
                <w:color w:val="auto"/>
                <w:sz w:val="21"/>
                <w:szCs w:val="21"/>
                <w:highlight w:val="none"/>
                <w:lang w:eastAsia="zh-CN"/>
              </w:rPr>
              <w:t>t/a。</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w:t>
            </w:r>
            <w:r>
              <w:rPr>
                <w:rFonts w:ascii="Times New Roman" w:hAnsi="Times New Roman" w:cs="Times New Roman"/>
                <w:color w:val="auto"/>
                <w:sz w:val="21"/>
                <w:szCs w:val="21"/>
                <w:highlight w:val="none"/>
                <w:lang w:eastAsia="zh-CN"/>
              </w:rPr>
              <w:t>工艺粉尘产生</w:t>
            </w:r>
            <w:r>
              <w:rPr>
                <w:rFonts w:hint="eastAsia" w:ascii="Times New Roman" w:hAnsi="Times New Roman" w:cs="Times New Roman"/>
                <w:color w:val="auto"/>
                <w:sz w:val="21"/>
                <w:szCs w:val="21"/>
                <w:highlight w:val="none"/>
                <w:lang w:eastAsia="zh-CN"/>
              </w:rPr>
              <w:t>及</w:t>
            </w:r>
            <w:r>
              <w:rPr>
                <w:rFonts w:ascii="Times New Roman" w:hAnsi="Times New Roman" w:cs="Times New Roman"/>
                <w:color w:val="auto"/>
                <w:sz w:val="21"/>
                <w:szCs w:val="21"/>
                <w:highlight w:val="none"/>
                <w:lang w:eastAsia="zh-CN"/>
              </w:rPr>
              <w:t>排放情况见表</w:t>
            </w:r>
            <w:r>
              <w:rPr>
                <w:rFonts w:hint="eastAsia" w:ascii="Times New Roman" w:hAnsi="Times New Roman" w:cs="Times New Roman"/>
                <w:color w:val="auto"/>
                <w:sz w:val="21"/>
                <w:szCs w:val="21"/>
                <w:highlight w:val="none"/>
                <w:lang w:val="en-US" w:eastAsia="zh-CN"/>
              </w:rPr>
              <w:t>4-2</w:t>
            </w:r>
            <w:r>
              <w:rPr>
                <w:rFonts w:hint="eastAsia" w:ascii="Times New Roman" w:hAnsi="Times New Roman" w:cs="Times New Roman"/>
                <w:color w:val="auto"/>
                <w:sz w:val="21"/>
                <w:szCs w:val="21"/>
                <w:highlight w:val="none"/>
                <w:lang w:eastAsia="zh-CN"/>
              </w:rPr>
              <w:t>。</w:t>
            </w:r>
          </w:p>
          <w:p>
            <w:pPr>
              <w:pStyle w:val="18"/>
              <w:jc w:val="center"/>
              <w:rPr>
                <w:rFonts w:ascii="Times New Roman" w:hAnsi="Times New Roman" w:cs="Times New Roman"/>
                <w:color w:val="auto"/>
                <w:sz w:val="21"/>
                <w:szCs w:val="21"/>
                <w:highlight w:val="none"/>
                <w:lang w:eastAsia="zh-CN"/>
              </w:rPr>
            </w:pPr>
            <w:r>
              <w:rPr>
                <w:rFonts w:ascii="Times New Roman" w:hAnsi="Times New Roman" w:cs="Times New Roman"/>
                <w:b/>
                <w:bCs/>
                <w:color w:val="auto"/>
                <w:sz w:val="21"/>
                <w:szCs w:val="21"/>
                <w:highlight w:val="none"/>
                <w:lang w:eastAsia="zh-CN"/>
              </w:rPr>
              <w:t>表</w:t>
            </w:r>
            <w:r>
              <w:rPr>
                <w:rFonts w:hint="eastAsia" w:ascii="Times New Roman" w:hAnsi="Times New Roman" w:cs="Times New Roman"/>
                <w:b/>
                <w:bCs/>
                <w:color w:val="auto"/>
                <w:sz w:val="21"/>
                <w:szCs w:val="21"/>
                <w:highlight w:val="none"/>
                <w:lang w:val="en-US" w:eastAsia="zh-CN"/>
              </w:rPr>
              <w:t>4-2</w:t>
            </w:r>
            <w:r>
              <w:rPr>
                <w:rFonts w:ascii="Times New Roman" w:hAnsi="Times New Roman" w:cs="Times New Roman"/>
                <w:b/>
                <w:bCs/>
                <w:color w:val="auto"/>
                <w:sz w:val="21"/>
                <w:szCs w:val="21"/>
                <w:highlight w:val="none"/>
                <w:lang w:eastAsia="zh-CN"/>
              </w:rPr>
              <w:t xml:space="preserve">    </w:t>
            </w:r>
            <w:r>
              <w:rPr>
                <w:rFonts w:hint="eastAsia" w:ascii="Times New Roman" w:hAnsi="Times New Roman" w:cs="Times New Roman"/>
                <w:b/>
                <w:bCs/>
                <w:color w:val="auto"/>
                <w:sz w:val="21"/>
                <w:szCs w:val="21"/>
                <w:highlight w:val="none"/>
                <w:lang w:eastAsia="zh-CN"/>
              </w:rPr>
              <w:t>项目工艺</w:t>
            </w:r>
            <w:r>
              <w:rPr>
                <w:rFonts w:ascii="Times New Roman" w:hAnsi="Times New Roman" w:cs="Times New Roman"/>
                <w:b/>
                <w:bCs/>
                <w:color w:val="auto"/>
                <w:sz w:val="21"/>
                <w:szCs w:val="21"/>
                <w:highlight w:val="none"/>
                <w:lang w:eastAsia="zh-CN"/>
              </w:rPr>
              <w:t>粉尘产生及排放量统计表</w:t>
            </w:r>
          </w:p>
          <w:tbl>
            <w:tblPr>
              <w:tblStyle w:val="15"/>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1948"/>
              <w:gridCol w:w="1948"/>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51" w:type="dxa"/>
                  <w:vMerge w:val="restart"/>
                  <w:vAlign w:val="center"/>
                </w:tcPr>
                <w:p>
                  <w:pPr>
                    <w:jc w:val="center"/>
                    <w:rPr>
                      <w:rFonts w:ascii="Times New Roman" w:hAnsi="Times New Roman" w:cs="Times New Roman"/>
                      <w:b/>
                      <w:bCs w:val="0"/>
                      <w:color w:val="auto"/>
                      <w:sz w:val="21"/>
                      <w:szCs w:val="21"/>
                      <w:highlight w:val="none"/>
                      <w:lang w:eastAsia="zh-CN"/>
                    </w:rPr>
                  </w:pPr>
                  <w:r>
                    <w:rPr>
                      <w:rFonts w:hint="eastAsia" w:ascii="Times New Roman" w:hAnsi="Times New Roman" w:cs="Times New Roman"/>
                      <w:b/>
                      <w:bCs w:val="0"/>
                      <w:color w:val="auto"/>
                      <w:sz w:val="21"/>
                      <w:szCs w:val="21"/>
                      <w:highlight w:val="none"/>
                      <w:lang w:eastAsia="zh-CN"/>
                    </w:rPr>
                    <w:t>产生源</w:t>
                  </w:r>
                </w:p>
              </w:tc>
              <w:tc>
                <w:tcPr>
                  <w:tcW w:w="3896" w:type="dxa"/>
                  <w:gridSpan w:val="2"/>
                  <w:vAlign w:val="center"/>
                </w:tcPr>
                <w:p>
                  <w:pPr>
                    <w:jc w:val="center"/>
                    <w:rPr>
                      <w:rFonts w:ascii="Times New Roman" w:hAnsi="Times New Roman" w:cs="Times New Roman"/>
                      <w:b/>
                      <w:bCs w:val="0"/>
                      <w:color w:val="auto"/>
                      <w:sz w:val="21"/>
                      <w:szCs w:val="21"/>
                      <w:highlight w:val="none"/>
                      <w:lang w:eastAsia="zh-CN"/>
                    </w:rPr>
                  </w:pPr>
                  <w:r>
                    <w:rPr>
                      <w:rFonts w:hint="eastAsia" w:ascii="Times New Roman" w:hAnsi="Times New Roman" w:cs="Times New Roman"/>
                      <w:b/>
                      <w:bCs w:val="0"/>
                      <w:color w:val="auto"/>
                      <w:sz w:val="21"/>
                      <w:szCs w:val="21"/>
                      <w:highlight w:val="none"/>
                      <w:lang w:eastAsia="zh-CN"/>
                    </w:rPr>
                    <w:t>工艺扬尘</w:t>
                  </w:r>
                </w:p>
              </w:tc>
              <w:tc>
                <w:tcPr>
                  <w:tcW w:w="1944" w:type="dxa"/>
                  <w:vMerge w:val="restart"/>
                  <w:vAlign w:val="center"/>
                </w:tcPr>
                <w:p>
                  <w:pPr>
                    <w:jc w:val="center"/>
                    <w:rPr>
                      <w:rFonts w:ascii="Times New Roman" w:hAnsi="Times New Roman" w:cs="Times New Roman"/>
                      <w:b/>
                      <w:color w:val="auto"/>
                      <w:sz w:val="21"/>
                      <w:szCs w:val="21"/>
                      <w:highlight w:val="none"/>
                      <w:lang w:eastAsia="zh-CN"/>
                    </w:rPr>
                  </w:pPr>
                  <w:r>
                    <w:rPr>
                      <w:rFonts w:hint="eastAsia" w:ascii="Times New Roman" w:hAnsi="Times New Roman" w:cs="Times New Roman"/>
                      <w:b/>
                      <w:bCs w:val="0"/>
                      <w:color w:val="auto"/>
                      <w:sz w:val="21"/>
                      <w:szCs w:val="21"/>
                      <w:highlight w:val="none"/>
                      <w:lang w:eastAsia="zh-CN"/>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51" w:type="dxa"/>
                  <w:vMerge w:val="continue"/>
                  <w:vAlign w:val="center"/>
                </w:tcPr>
                <w:p>
                  <w:pPr>
                    <w:jc w:val="center"/>
                    <w:rPr>
                      <w:rFonts w:ascii="Times New Roman" w:hAnsi="Times New Roman" w:cs="Times New Roman"/>
                      <w:b/>
                      <w:bCs w:val="0"/>
                      <w:color w:val="auto"/>
                      <w:sz w:val="21"/>
                      <w:szCs w:val="21"/>
                      <w:highlight w:val="none"/>
                      <w:lang w:eastAsia="zh-CN"/>
                    </w:rPr>
                  </w:pPr>
                </w:p>
              </w:tc>
              <w:tc>
                <w:tcPr>
                  <w:tcW w:w="1948" w:type="dxa"/>
                  <w:vAlign w:val="center"/>
                </w:tcPr>
                <w:p>
                  <w:pPr>
                    <w:jc w:val="center"/>
                    <w:rPr>
                      <w:rFonts w:ascii="Times New Roman" w:hAnsi="Times New Roman" w:cs="Times New Roman"/>
                      <w:b/>
                      <w:bCs w:val="0"/>
                      <w:color w:val="auto"/>
                      <w:sz w:val="21"/>
                      <w:szCs w:val="21"/>
                      <w:highlight w:val="none"/>
                      <w:lang w:eastAsia="zh-CN"/>
                    </w:rPr>
                  </w:pPr>
                  <w:r>
                    <w:rPr>
                      <w:rFonts w:hint="eastAsia" w:ascii="Times New Roman" w:hAnsi="Times New Roman" w:cs="Times New Roman"/>
                      <w:b/>
                      <w:bCs w:val="0"/>
                      <w:color w:val="auto"/>
                      <w:sz w:val="21"/>
                      <w:szCs w:val="21"/>
                      <w:highlight w:val="none"/>
                      <w:lang w:eastAsia="zh-CN"/>
                    </w:rPr>
                    <w:t>采挖扬尘</w:t>
                  </w:r>
                </w:p>
              </w:tc>
              <w:tc>
                <w:tcPr>
                  <w:tcW w:w="1948" w:type="dxa"/>
                  <w:vAlign w:val="center"/>
                </w:tcPr>
                <w:p>
                  <w:pPr>
                    <w:jc w:val="center"/>
                    <w:rPr>
                      <w:rFonts w:ascii="Times New Roman" w:hAnsi="Times New Roman" w:cs="Times New Roman"/>
                      <w:b/>
                      <w:bCs w:val="0"/>
                      <w:color w:val="auto"/>
                      <w:sz w:val="21"/>
                      <w:szCs w:val="21"/>
                      <w:highlight w:val="none"/>
                      <w:lang w:eastAsia="zh-CN"/>
                    </w:rPr>
                  </w:pPr>
                  <w:r>
                    <w:rPr>
                      <w:rFonts w:hint="eastAsia" w:ascii="Times New Roman" w:hAnsi="Times New Roman" w:cs="Times New Roman"/>
                      <w:b/>
                      <w:bCs w:val="0"/>
                      <w:color w:val="auto"/>
                      <w:sz w:val="21"/>
                      <w:szCs w:val="21"/>
                      <w:highlight w:val="none"/>
                      <w:lang w:eastAsia="zh-CN"/>
                    </w:rPr>
                    <w:t>装载</w:t>
                  </w:r>
                  <w:r>
                    <w:rPr>
                      <w:rFonts w:ascii="Times New Roman" w:hAnsi="Times New Roman" w:cs="Times New Roman"/>
                      <w:b/>
                      <w:bCs w:val="0"/>
                      <w:color w:val="auto"/>
                      <w:sz w:val="21"/>
                      <w:szCs w:val="21"/>
                      <w:highlight w:val="none"/>
                      <w:lang w:eastAsia="zh-CN"/>
                    </w:rPr>
                    <w:t>扬尘</w:t>
                  </w:r>
                </w:p>
              </w:tc>
              <w:tc>
                <w:tcPr>
                  <w:tcW w:w="1944" w:type="dxa"/>
                  <w:vMerge w:val="continue"/>
                </w:tcPr>
                <w:p>
                  <w:pPr>
                    <w:jc w:val="center"/>
                    <w:rPr>
                      <w:rFonts w:ascii="Times New Roman" w:hAnsi="Times New Roman" w:cs="Times New Roman"/>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51"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产生量</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t</w:t>
                  </w:r>
                  <w:r>
                    <w:rPr>
                      <w:rFonts w:ascii="Times New Roman" w:hAnsi="Times New Roman" w:cs="Times New Roman"/>
                      <w:color w:val="auto"/>
                      <w:sz w:val="21"/>
                      <w:szCs w:val="21"/>
                      <w:highlight w:val="none"/>
                      <w:lang w:eastAsia="zh-CN"/>
                    </w:rPr>
                    <w:t>/a）</w:t>
                  </w:r>
                </w:p>
              </w:tc>
              <w:tc>
                <w:tcPr>
                  <w:tcW w:w="1948"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7.38</w:t>
                  </w:r>
                </w:p>
              </w:tc>
              <w:tc>
                <w:tcPr>
                  <w:tcW w:w="1948" w:type="dxa"/>
                  <w:vAlign w:val="center"/>
                </w:tcPr>
                <w:p>
                  <w:pPr>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800</w:t>
                  </w:r>
                </w:p>
              </w:tc>
              <w:tc>
                <w:tcPr>
                  <w:tcW w:w="1944" w:type="dxa"/>
                </w:tcPr>
                <w:p>
                  <w:pPr>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807.38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51"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排放量</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t</w:t>
                  </w:r>
                  <w:r>
                    <w:rPr>
                      <w:rFonts w:ascii="Times New Roman" w:hAnsi="Times New Roman" w:cs="Times New Roman"/>
                      <w:color w:val="auto"/>
                      <w:sz w:val="21"/>
                      <w:szCs w:val="21"/>
                      <w:highlight w:val="none"/>
                      <w:lang w:eastAsia="zh-CN"/>
                    </w:rPr>
                    <w:t>/a）</w:t>
                  </w:r>
                </w:p>
              </w:tc>
              <w:tc>
                <w:tcPr>
                  <w:tcW w:w="1948"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0.74</w:t>
                  </w:r>
                </w:p>
              </w:tc>
              <w:tc>
                <w:tcPr>
                  <w:tcW w:w="1948" w:type="dxa"/>
                  <w:vAlign w:val="center"/>
                </w:tcPr>
                <w:p>
                  <w:pPr>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80</w:t>
                  </w:r>
                </w:p>
              </w:tc>
              <w:tc>
                <w:tcPr>
                  <w:tcW w:w="1944" w:type="dxa"/>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80</w:t>
                  </w:r>
                  <w:r>
                    <w:rPr>
                      <w:rFonts w:ascii="Times New Roman" w:hAnsi="Times New Roman" w:cs="Times New Roman"/>
                      <w:color w:val="auto"/>
                      <w:sz w:val="21"/>
                      <w:szCs w:val="21"/>
                      <w:highlight w:val="none"/>
                      <w:lang w:eastAsia="zh-CN"/>
                    </w:rPr>
                    <w:t>.74</w:t>
                  </w:r>
                </w:p>
              </w:tc>
            </w:tr>
          </w:tbl>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2</w:t>
            </w:r>
            <w:r>
              <w:rPr>
                <w:rFonts w:hint="eastAsia" w:ascii="Times New Roman" w:hAnsi="Times New Roman" w:cs="Times New Roman"/>
                <w:color w:val="auto"/>
                <w:sz w:val="21"/>
                <w:szCs w:val="21"/>
                <w:highlight w:val="none"/>
                <w:lang w:eastAsia="zh-CN"/>
              </w:rPr>
              <w:t>）交通</w:t>
            </w:r>
            <w:r>
              <w:rPr>
                <w:rFonts w:ascii="Times New Roman" w:hAnsi="Times New Roman" w:cs="Times New Roman"/>
                <w:color w:val="auto"/>
                <w:sz w:val="21"/>
                <w:szCs w:val="21"/>
                <w:highlight w:val="none"/>
                <w:lang w:eastAsia="zh-CN"/>
              </w:rPr>
              <w:t>扬尘</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自卸载重汽车在转运粘土矿过程中会产生一定量的扬尘，其排放方式为线性。其产尘强度与路面材质、季节干湿以及汽车运行速度等因素有关。一般情况车辆行驶产生的扬尘在同样路面清洁程度下，车速越快，扬尘量越大；而在同样车速下，路面越脏扬尘量越大。本项目采矿区道路为砂石</w:t>
            </w:r>
            <w:r>
              <w:rPr>
                <w:rFonts w:ascii="Times New Roman" w:hAnsi="Times New Roman" w:cs="Times New Roman"/>
                <w:color w:val="auto"/>
                <w:sz w:val="21"/>
                <w:szCs w:val="21"/>
                <w:highlight w:val="none"/>
                <w:lang w:eastAsia="zh-CN"/>
              </w:rPr>
              <w:t>路面</w:t>
            </w:r>
            <w:r>
              <w:rPr>
                <w:rFonts w:hint="eastAsia" w:ascii="Times New Roman" w:hAnsi="Times New Roman" w:cs="Times New Roman"/>
                <w:color w:val="auto"/>
                <w:sz w:val="21"/>
                <w:szCs w:val="21"/>
                <w:highlight w:val="none"/>
                <w:lang w:eastAsia="zh-CN"/>
              </w:rPr>
              <w:t>，宽度为</w:t>
            </w:r>
            <w:r>
              <w:rPr>
                <w:rFonts w:hint="eastAsia" w:ascii="Times New Roman" w:hAnsi="Times New Roman" w:cs="Times New Roman"/>
                <w:color w:val="auto"/>
                <w:sz w:val="21"/>
                <w:szCs w:val="21"/>
                <w:highlight w:val="none"/>
                <w:lang w:val="en-US" w:eastAsia="zh-CN"/>
              </w:rPr>
              <w:t>5</w:t>
            </w:r>
            <w:r>
              <w:rPr>
                <w:rFonts w:ascii="Times New Roman" w:hAnsi="Times New Roman" w:cs="Times New Roman"/>
                <w:color w:val="auto"/>
                <w:sz w:val="21"/>
                <w:szCs w:val="21"/>
                <w:highlight w:val="none"/>
                <w:lang w:eastAsia="zh-CN"/>
              </w:rPr>
              <w:t>m，使用1辆</w:t>
            </w:r>
            <w:r>
              <w:rPr>
                <w:rFonts w:hint="eastAsia" w:ascii="Times New Roman" w:hAnsi="Times New Roman" w:cs="Times New Roman"/>
                <w:color w:val="auto"/>
                <w:sz w:val="21"/>
                <w:szCs w:val="21"/>
                <w:highlight w:val="none"/>
                <w:lang w:eastAsia="zh-CN"/>
              </w:rPr>
              <w:t>3</w:t>
            </w:r>
            <w:r>
              <w:rPr>
                <w:rFonts w:ascii="Times New Roman" w:hAnsi="Times New Roman" w:cs="Times New Roman"/>
                <w:color w:val="auto"/>
                <w:sz w:val="21"/>
                <w:szCs w:val="21"/>
                <w:highlight w:val="none"/>
                <w:lang w:eastAsia="zh-CN"/>
              </w:rPr>
              <w:t>0</w:t>
            </w:r>
            <w:r>
              <w:rPr>
                <w:rFonts w:hint="eastAsia" w:ascii="Times New Roman" w:hAnsi="Times New Roman" w:cs="Times New Roman"/>
                <w:color w:val="auto"/>
                <w:sz w:val="21"/>
                <w:szCs w:val="21"/>
                <w:highlight w:val="none"/>
                <w:lang w:eastAsia="zh-CN"/>
              </w:rPr>
              <w:t>t</w:t>
            </w:r>
            <w:r>
              <w:rPr>
                <w:rFonts w:ascii="Times New Roman" w:hAnsi="Times New Roman" w:cs="Times New Roman"/>
                <w:color w:val="auto"/>
                <w:sz w:val="21"/>
                <w:szCs w:val="21"/>
                <w:highlight w:val="none"/>
                <w:lang w:eastAsia="zh-CN"/>
              </w:rPr>
              <w:t>的自卸</w:t>
            </w:r>
            <w:r>
              <w:rPr>
                <w:rFonts w:hint="eastAsia" w:ascii="Times New Roman" w:hAnsi="Times New Roman" w:cs="Times New Roman"/>
                <w:color w:val="auto"/>
                <w:sz w:val="21"/>
                <w:szCs w:val="21"/>
                <w:highlight w:val="none"/>
                <w:lang w:eastAsia="zh-CN"/>
              </w:rPr>
              <w:t>载重</w:t>
            </w:r>
            <w:r>
              <w:rPr>
                <w:rFonts w:ascii="Times New Roman" w:hAnsi="Times New Roman" w:cs="Times New Roman"/>
                <w:color w:val="auto"/>
                <w:sz w:val="21"/>
                <w:szCs w:val="21"/>
                <w:highlight w:val="none"/>
                <w:lang w:eastAsia="zh-CN"/>
              </w:rPr>
              <w:t>汽车</w:t>
            </w:r>
            <w:r>
              <w:rPr>
                <w:rFonts w:hint="eastAsia" w:ascii="Times New Roman" w:hAnsi="Times New Roman" w:cs="Times New Roman"/>
                <w:color w:val="auto"/>
                <w:sz w:val="21"/>
                <w:szCs w:val="21"/>
                <w:highlight w:val="none"/>
                <w:lang w:eastAsia="zh-CN"/>
              </w:rPr>
              <w:t>运输</w:t>
            </w:r>
            <w:r>
              <w:rPr>
                <w:rFonts w:ascii="Times New Roman" w:hAnsi="Times New Roman" w:cs="Times New Roman"/>
                <w:color w:val="auto"/>
                <w:sz w:val="21"/>
                <w:szCs w:val="21"/>
                <w:highlight w:val="none"/>
                <w:lang w:eastAsia="zh-CN"/>
              </w:rPr>
              <w:t>粘土矿。矿区内部运输道路约</w:t>
            </w:r>
            <w:r>
              <w:rPr>
                <w:rFonts w:hint="eastAsia" w:ascii="Times New Roman" w:hAnsi="Times New Roman" w:cs="Times New Roman"/>
                <w:color w:val="auto"/>
                <w:sz w:val="21"/>
                <w:szCs w:val="21"/>
                <w:highlight w:val="none"/>
                <w:lang w:val="en-US" w:eastAsia="zh-CN"/>
              </w:rPr>
              <w:t>250</w:t>
            </w:r>
            <w:r>
              <w:rPr>
                <w:rFonts w:ascii="Times New Roman" w:hAnsi="Times New Roman" w:cs="Times New Roman"/>
                <w:color w:val="auto"/>
                <w:sz w:val="21"/>
                <w:szCs w:val="21"/>
                <w:highlight w:val="none"/>
                <w:lang w:eastAsia="zh-CN"/>
              </w:rPr>
              <w:t>m，往返次数</w:t>
            </w:r>
            <w:r>
              <w:rPr>
                <w:rFonts w:hint="eastAsia" w:ascii="Times New Roman" w:hAnsi="Times New Roman" w:cs="Times New Roman"/>
                <w:color w:val="auto"/>
                <w:sz w:val="21"/>
                <w:szCs w:val="21"/>
                <w:highlight w:val="none"/>
                <w:lang w:val="en-US" w:eastAsia="zh-CN"/>
              </w:rPr>
              <w:t>12</w:t>
            </w:r>
            <w:r>
              <w:rPr>
                <w:rFonts w:ascii="Times New Roman" w:hAnsi="Times New Roman" w:cs="Times New Roman"/>
                <w:color w:val="auto"/>
                <w:sz w:val="21"/>
                <w:szCs w:val="21"/>
                <w:highlight w:val="none"/>
                <w:lang w:eastAsia="zh-CN"/>
              </w:rPr>
              <w:t>趟/天；</w:t>
            </w:r>
            <w:r>
              <w:rPr>
                <w:rFonts w:hint="eastAsia" w:ascii="Times New Roman" w:hAnsi="Times New Roman" w:cs="Times New Roman"/>
                <w:color w:val="auto"/>
                <w:sz w:val="21"/>
                <w:szCs w:val="21"/>
                <w:highlight w:val="none"/>
                <w:lang w:eastAsia="zh-CN"/>
              </w:rPr>
              <w:t>交通扬尘</w:t>
            </w:r>
            <w:r>
              <w:rPr>
                <w:rFonts w:ascii="Times New Roman" w:hAnsi="Times New Roman" w:cs="Times New Roman"/>
                <w:color w:val="auto"/>
                <w:sz w:val="21"/>
                <w:szCs w:val="21"/>
                <w:highlight w:val="none"/>
                <w:lang w:eastAsia="zh-CN"/>
              </w:rPr>
              <w:t>可按下列经验公式计算：</w:t>
            </w:r>
          </w:p>
          <w:p>
            <w:pPr>
              <w:pStyle w:val="18"/>
              <w:spacing w:line="360" w:lineRule="auto"/>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Q = 0.123(V/5)(W/6.8)</w:t>
            </w:r>
            <w:r>
              <w:rPr>
                <w:rFonts w:ascii="Times New Roman" w:hAnsi="Times New Roman" w:cs="Times New Roman"/>
                <w:color w:val="auto"/>
                <w:sz w:val="21"/>
                <w:szCs w:val="21"/>
                <w:highlight w:val="none"/>
                <w:vertAlign w:val="superscript"/>
                <w:lang w:eastAsia="zh-CN"/>
              </w:rPr>
              <w:t>0.85</w:t>
            </w:r>
            <w:r>
              <w:rPr>
                <w:rFonts w:ascii="Times New Roman" w:hAnsi="Times New Roman" w:cs="Times New Roman"/>
                <w:color w:val="auto"/>
                <w:sz w:val="21"/>
                <w:szCs w:val="21"/>
                <w:highlight w:val="none"/>
                <w:lang w:eastAsia="zh-CN"/>
              </w:rPr>
              <w:t>(P/0.5)</w:t>
            </w:r>
            <w:r>
              <w:rPr>
                <w:rFonts w:ascii="Times New Roman" w:hAnsi="Times New Roman" w:cs="Times New Roman"/>
                <w:color w:val="auto"/>
                <w:sz w:val="21"/>
                <w:szCs w:val="21"/>
                <w:highlight w:val="none"/>
                <w:vertAlign w:val="superscript"/>
                <w:lang w:eastAsia="zh-CN"/>
              </w:rPr>
              <w:t>0.75</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式中：</w:t>
            </w:r>
            <w:r>
              <w:rPr>
                <w:rFonts w:ascii="Times New Roman" w:hAnsi="Times New Roman" w:cs="Times New Roman"/>
                <w:color w:val="auto"/>
                <w:sz w:val="21"/>
                <w:szCs w:val="21"/>
                <w:highlight w:val="none"/>
                <w:lang w:eastAsia="zh-CN"/>
              </w:rPr>
              <w:t>Q 一</w:t>
            </w:r>
            <w:r>
              <w:rPr>
                <w:rFonts w:hint="eastAsia" w:ascii="Times New Roman" w:hAnsi="Times New Roman" w:cs="Times New Roman"/>
                <w:color w:val="auto"/>
                <w:sz w:val="21"/>
                <w:szCs w:val="21"/>
                <w:highlight w:val="none"/>
                <w:lang w:eastAsia="zh-CN"/>
              </w:rPr>
              <w:t xml:space="preserve"> </w:t>
            </w:r>
            <w:r>
              <w:rPr>
                <w:rFonts w:ascii="Times New Roman" w:hAnsi="Times New Roman" w:cs="Times New Roman"/>
                <w:color w:val="auto"/>
                <w:sz w:val="21"/>
                <w:szCs w:val="21"/>
                <w:highlight w:val="none"/>
                <w:lang w:eastAsia="zh-CN"/>
              </w:rPr>
              <w:t xml:space="preserve">汽车行驶时的扬尘，kg/ </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km·辆）；</w:t>
            </w:r>
          </w:p>
          <w:p>
            <w:pPr>
              <w:pStyle w:val="18"/>
              <w:spacing w:line="360" w:lineRule="auto"/>
              <w:ind w:firstLine="1050" w:firstLineChars="5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V 一</w:t>
            </w:r>
            <w:r>
              <w:rPr>
                <w:rFonts w:hint="eastAsia" w:ascii="Times New Roman" w:hAnsi="Times New Roman" w:cs="Times New Roman"/>
                <w:color w:val="auto"/>
                <w:sz w:val="21"/>
                <w:szCs w:val="21"/>
                <w:highlight w:val="none"/>
                <w:lang w:eastAsia="zh-CN"/>
              </w:rPr>
              <w:t xml:space="preserve"> </w:t>
            </w:r>
            <w:r>
              <w:rPr>
                <w:rFonts w:ascii="Times New Roman" w:hAnsi="Times New Roman" w:cs="Times New Roman"/>
                <w:color w:val="auto"/>
                <w:sz w:val="21"/>
                <w:szCs w:val="21"/>
                <w:highlight w:val="none"/>
                <w:lang w:eastAsia="zh-CN"/>
              </w:rPr>
              <w:t xml:space="preserve">汽车速度，km/h； </w:t>
            </w:r>
          </w:p>
          <w:p>
            <w:pPr>
              <w:pStyle w:val="18"/>
              <w:spacing w:line="360" w:lineRule="auto"/>
              <w:ind w:firstLine="1050" w:firstLineChars="5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W 一</w:t>
            </w:r>
            <w:r>
              <w:rPr>
                <w:rFonts w:hint="eastAsia" w:ascii="Times New Roman" w:hAnsi="Times New Roman" w:cs="Times New Roman"/>
                <w:color w:val="auto"/>
                <w:sz w:val="21"/>
                <w:szCs w:val="21"/>
                <w:highlight w:val="none"/>
                <w:lang w:eastAsia="zh-CN"/>
              </w:rPr>
              <w:t xml:space="preserve"> </w:t>
            </w:r>
            <w:r>
              <w:rPr>
                <w:rFonts w:ascii="Times New Roman" w:hAnsi="Times New Roman" w:cs="Times New Roman"/>
                <w:color w:val="auto"/>
                <w:sz w:val="21"/>
                <w:szCs w:val="21"/>
                <w:highlight w:val="none"/>
                <w:lang w:eastAsia="zh-CN"/>
              </w:rPr>
              <w:t>汽车载重量，</w:t>
            </w:r>
            <w:r>
              <w:rPr>
                <w:rFonts w:hint="eastAsia" w:ascii="Times New Roman" w:hAnsi="Times New Roman" w:cs="Times New Roman"/>
                <w:color w:val="auto"/>
                <w:sz w:val="21"/>
                <w:szCs w:val="21"/>
                <w:highlight w:val="none"/>
                <w:lang w:eastAsia="zh-CN"/>
              </w:rPr>
              <w:t>t</w:t>
            </w:r>
            <w:r>
              <w:rPr>
                <w:rFonts w:ascii="Times New Roman" w:hAnsi="Times New Roman" w:cs="Times New Roman"/>
                <w:color w:val="auto"/>
                <w:sz w:val="21"/>
                <w:szCs w:val="21"/>
                <w:highlight w:val="none"/>
                <w:lang w:eastAsia="zh-CN"/>
              </w:rPr>
              <w:t>；</w:t>
            </w:r>
          </w:p>
          <w:p>
            <w:pPr>
              <w:pStyle w:val="18"/>
              <w:spacing w:line="360" w:lineRule="auto"/>
              <w:ind w:firstLine="1050" w:firstLineChars="5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P 一</w:t>
            </w:r>
            <w:r>
              <w:rPr>
                <w:rFonts w:hint="eastAsia" w:ascii="Times New Roman" w:hAnsi="Times New Roman" w:cs="Times New Roman"/>
                <w:color w:val="auto"/>
                <w:sz w:val="21"/>
                <w:szCs w:val="21"/>
                <w:highlight w:val="none"/>
                <w:lang w:eastAsia="zh-CN"/>
              </w:rPr>
              <w:t xml:space="preserve"> </w:t>
            </w:r>
            <w:r>
              <w:rPr>
                <w:rFonts w:ascii="Times New Roman" w:hAnsi="Times New Roman" w:cs="Times New Roman"/>
                <w:color w:val="auto"/>
                <w:sz w:val="21"/>
                <w:szCs w:val="21"/>
                <w:highlight w:val="none"/>
                <w:lang w:eastAsia="zh-CN"/>
              </w:rPr>
              <w:t>道路表面粉尘量，kg/m</w:t>
            </w:r>
            <w:r>
              <w:rPr>
                <w:rFonts w:ascii="Times New Roman" w:hAnsi="Times New Roman" w:cs="Times New Roman"/>
                <w:color w:val="auto"/>
                <w:sz w:val="21"/>
                <w:szCs w:val="21"/>
                <w:highlight w:val="none"/>
                <w:vertAlign w:val="superscript"/>
                <w:lang w:eastAsia="zh-CN"/>
              </w:rPr>
              <w:t>2</w:t>
            </w:r>
            <w:r>
              <w:rPr>
                <w:rFonts w:ascii="Times New Roman" w:hAnsi="Times New Roman" w:cs="Times New Roman"/>
                <w:color w:val="auto"/>
                <w:sz w:val="21"/>
                <w:szCs w:val="21"/>
                <w:highlight w:val="none"/>
                <w:lang w:eastAsia="zh-CN"/>
              </w:rPr>
              <w:t>。</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根据项目的实际情况，平均车速取</w:t>
            </w:r>
            <w:r>
              <w:rPr>
                <w:rFonts w:ascii="Times New Roman" w:hAnsi="Times New Roman" w:cs="Times New Roman"/>
                <w:color w:val="auto"/>
                <w:sz w:val="21"/>
                <w:szCs w:val="21"/>
                <w:highlight w:val="none"/>
                <w:lang w:eastAsia="zh-CN"/>
              </w:rPr>
              <w:t>20km/h</w:t>
            </w:r>
            <w:r>
              <w:rPr>
                <w:rFonts w:hint="eastAsia" w:ascii="Times New Roman" w:hAnsi="Times New Roman" w:cs="Times New Roman"/>
                <w:color w:val="auto"/>
                <w:sz w:val="21"/>
                <w:szCs w:val="21"/>
                <w:highlight w:val="none"/>
                <w:lang w:eastAsia="zh-CN"/>
              </w:rPr>
              <w:t>，自卸载重</w:t>
            </w:r>
            <w:r>
              <w:rPr>
                <w:rFonts w:ascii="Times New Roman" w:hAnsi="Times New Roman" w:cs="Times New Roman"/>
                <w:color w:val="auto"/>
                <w:sz w:val="21"/>
                <w:szCs w:val="21"/>
                <w:highlight w:val="none"/>
                <w:lang w:eastAsia="zh-CN"/>
              </w:rPr>
              <w:t>汽</w:t>
            </w:r>
            <w:r>
              <w:rPr>
                <w:rFonts w:hint="eastAsia" w:ascii="Times New Roman" w:hAnsi="Times New Roman" w:cs="Times New Roman"/>
                <w:color w:val="auto"/>
                <w:sz w:val="21"/>
                <w:szCs w:val="21"/>
                <w:highlight w:val="none"/>
                <w:lang w:eastAsia="zh-CN"/>
              </w:rPr>
              <w:t>车净重</w:t>
            </w:r>
            <w:r>
              <w:rPr>
                <w:rFonts w:ascii="Times New Roman" w:hAnsi="Times New Roman" w:cs="Times New Roman"/>
                <w:color w:val="auto"/>
                <w:sz w:val="21"/>
                <w:szCs w:val="21"/>
                <w:highlight w:val="none"/>
                <w:lang w:eastAsia="zh-CN"/>
              </w:rPr>
              <w:t>6t，满载</w:t>
            </w:r>
            <w:r>
              <w:rPr>
                <w:rFonts w:hint="eastAsia" w:ascii="Times New Roman" w:hAnsi="Times New Roman" w:cs="Times New Roman"/>
                <w:color w:val="auto"/>
                <w:sz w:val="21"/>
                <w:szCs w:val="21"/>
                <w:highlight w:val="none"/>
                <w:lang w:eastAsia="zh-CN"/>
              </w:rPr>
              <w:t>3</w:t>
            </w:r>
            <w:r>
              <w:rPr>
                <w:rFonts w:ascii="Times New Roman" w:hAnsi="Times New Roman" w:cs="Times New Roman"/>
                <w:color w:val="auto"/>
                <w:sz w:val="21"/>
                <w:szCs w:val="21"/>
                <w:highlight w:val="none"/>
                <w:lang w:eastAsia="zh-CN"/>
              </w:rPr>
              <w:t>6t</w:t>
            </w:r>
            <w:r>
              <w:rPr>
                <w:rFonts w:hint="eastAsia" w:ascii="Times New Roman" w:hAnsi="Times New Roman" w:cs="Times New Roman"/>
                <w:color w:val="auto"/>
                <w:sz w:val="21"/>
                <w:szCs w:val="21"/>
                <w:highlight w:val="none"/>
                <w:lang w:eastAsia="zh-CN"/>
              </w:rPr>
              <w:t>，道路</w:t>
            </w:r>
            <w:r>
              <w:rPr>
                <w:rFonts w:ascii="Times New Roman" w:hAnsi="Times New Roman" w:cs="Times New Roman"/>
                <w:color w:val="auto"/>
                <w:sz w:val="21"/>
                <w:szCs w:val="21"/>
                <w:highlight w:val="none"/>
                <w:lang w:eastAsia="zh-CN"/>
              </w:rPr>
              <w:t>表面粉尘量按</w:t>
            </w:r>
            <w:r>
              <w:rPr>
                <w:rFonts w:hint="eastAsia" w:ascii="Times New Roman" w:hAnsi="Times New Roman" w:cs="Times New Roman"/>
                <w:color w:val="auto"/>
                <w:sz w:val="21"/>
                <w:szCs w:val="21"/>
                <w:highlight w:val="none"/>
                <w:lang w:eastAsia="zh-CN"/>
              </w:rPr>
              <w:t>0.</w:t>
            </w:r>
            <w:r>
              <w:rPr>
                <w:rFonts w:ascii="Times New Roman" w:hAnsi="Times New Roman" w:cs="Times New Roman"/>
                <w:color w:val="auto"/>
                <w:sz w:val="21"/>
                <w:szCs w:val="21"/>
                <w:highlight w:val="none"/>
                <w:lang w:eastAsia="zh-CN"/>
              </w:rPr>
              <w:t>02kg/m²计（</w:t>
            </w:r>
            <w:r>
              <w:rPr>
                <w:rFonts w:hint="eastAsia" w:ascii="Times New Roman" w:hAnsi="Times New Roman" w:cs="Times New Roman"/>
                <w:color w:val="auto"/>
                <w:sz w:val="21"/>
                <w:szCs w:val="21"/>
                <w:highlight w:val="none"/>
                <w:lang w:eastAsia="zh-CN"/>
              </w:rPr>
              <w:t>洒水</w:t>
            </w:r>
            <w:r>
              <w:rPr>
                <w:rFonts w:ascii="Times New Roman" w:hAnsi="Times New Roman" w:cs="Times New Roman"/>
                <w:color w:val="auto"/>
                <w:sz w:val="21"/>
                <w:szCs w:val="21"/>
                <w:highlight w:val="none"/>
                <w:lang w:eastAsia="zh-CN"/>
              </w:rPr>
              <w:t>抑尘后）</w:t>
            </w:r>
            <w:r>
              <w:rPr>
                <w:rFonts w:hint="eastAsia" w:ascii="Times New Roman" w:hAnsi="Times New Roman" w:cs="Times New Roman"/>
                <w:color w:val="auto"/>
                <w:sz w:val="21"/>
                <w:szCs w:val="21"/>
                <w:highlight w:val="none"/>
                <w:lang w:eastAsia="zh-CN"/>
              </w:rPr>
              <w:t>，代入</w:t>
            </w:r>
            <w:r>
              <w:rPr>
                <w:rFonts w:ascii="Times New Roman" w:hAnsi="Times New Roman" w:cs="Times New Roman"/>
                <w:color w:val="auto"/>
                <w:sz w:val="21"/>
                <w:szCs w:val="21"/>
                <w:highlight w:val="none"/>
                <w:lang w:eastAsia="zh-CN"/>
              </w:rPr>
              <w:t>公式计算出项目交通</w:t>
            </w:r>
            <w:r>
              <w:rPr>
                <w:rFonts w:hint="eastAsia" w:ascii="Times New Roman" w:hAnsi="Times New Roman" w:cs="Times New Roman"/>
                <w:color w:val="auto"/>
                <w:sz w:val="21"/>
                <w:szCs w:val="21"/>
                <w:highlight w:val="none"/>
                <w:lang w:eastAsia="zh-CN"/>
              </w:rPr>
              <w:t>扬尘</w:t>
            </w:r>
            <w:r>
              <w:rPr>
                <w:rFonts w:ascii="Times New Roman" w:hAnsi="Times New Roman" w:cs="Times New Roman"/>
                <w:color w:val="auto"/>
                <w:sz w:val="21"/>
                <w:szCs w:val="21"/>
                <w:highlight w:val="none"/>
                <w:lang w:eastAsia="zh-CN"/>
              </w:rPr>
              <w:t>产生情况见表</w:t>
            </w:r>
            <w:r>
              <w:rPr>
                <w:rFonts w:hint="eastAsia" w:ascii="Times New Roman" w:hAnsi="Times New Roman" w:cs="Times New Roman"/>
                <w:color w:val="auto"/>
                <w:sz w:val="21"/>
                <w:szCs w:val="21"/>
                <w:highlight w:val="none"/>
                <w:lang w:val="en-US" w:eastAsia="zh-CN"/>
              </w:rPr>
              <w:t>4-3</w:t>
            </w:r>
            <w:r>
              <w:rPr>
                <w:rFonts w:hint="eastAsia" w:ascii="Times New Roman" w:hAnsi="Times New Roman" w:cs="Times New Roman"/>
                <w:color w:val="auto"/>
                <w:sz w:val="21"/>
                <w:szCs w:val="21"/>
                <w:highlight w:val="none"/>
                <w:lang w:eastAsia="zh-CN"/>
              </w:rPr>
              <w:t>。</w:t>
            </w:r>
          </w:p>
          <w:p>
            <w:pPr>
              <w:pStyle w:val="18"/>
              <w:jc w:val="center"/>
              <w:rPr>
                <w:rFonts w:ascii="Times New Roman" w:hAnsi="Times New Roman" w:cs="Times New Roman"/>
                <w:color w:val="auto"/>
                <w:sz w:val="21"/>
                <w:szCs w:val="21"/>
                <w:highlight w:val="none"/>
                <w:lang w:eastAsia="zh-CN"/>
              </w:rPr>
            </w:pPr>
            <w:r>
              <w:rPr>
                <w:rFonts w:ascii="Times New Roman" w:hAnsi="Times New Roman" w:cs="Times New Roman"/>
                <w:b/>
                <w:bCs/>
                <w:color w:val="auto"/>
                <w:sz w:val="21"/>
                <w:szCs w:val="21"/>
                <w:highlight w:val="none"/>
                <w:lang w:eastAsia="zh-CN"/>
              </w:rPr>
              <w:t>表</w:t>
            </w:r>
            <w:r>
              <w:rPr>
                <w:rFonts w:hint="eastAsia" w:ascii="Times New Roman" w:hAnsi="Times New Roman" w:cs="Times New Roman"/>
                <w:b/>
                <w:bCs/>
                <w:color w:val="auto"/>
                <w:sz w:val="21"/>
                <w:szCs w:val="21"/>
                <w:highlight w:val="none"/>
                <w:lang w:val="en-US" w:eastAsia="zh-CN"/>
              </w:rPr>
              <w:t>4-3</w:t>
            </w:r>
            <w:r>
              <w:rPr>
                <w:rFonts w:ascii="Times New Roman" w:hAnsi="Times New Roman" w:cs="Times New Roman"/>
                <w:b/>
                <w:bCs/>
                <w:color w:val="auto"/>
                <w:sz w:val="21"/>
                <w:szCs w:val="21"/>
                <w:highlight w:val="none"/>
                <w:lang w:eastAsia="zh-CN"/>
              </w:rPr>
              <w:t xml:space="preserve">    </w:t>
            </w:r>
            <w:r>
              <w:rPr>
                <w:rFonts w:hint="eastAsia" w:ascii="Times New Roman" w:hAnsi="Times New Roman" w:cs="Times New Roman"/>
                <w:b/>
                <w:bCs/>
                <w:color w:val="auto"/>
                <w:sz w:val="21"/>
                <w:szCs w:val="21"/>
                <w:highlight w:val="none"/>
                <w:lang w:eastAsia="zh-CN"/>
              </w:rPr>
              <w:t>项目交通扬尘</w:t>
            </w:r>
            <w:r>
              <w:rPr>
                <w:rFonts w:ascii="Times New Roman" w:hAnsi="Times New Roman" w:cs="Times New Roman"/>
                <w:b/>
                <w:bCs/>
                <w:color w:val="auto"/>
                <w:sz w:val="21"/>
                <w:szCs w:val="21"/>
                <w:highlight w:val="none"/>
                <w:lang w:eastAsia="zh-CN"/>
              </w:rPr>
              <w:t>产生量</w:t>
            </w:r>
            <w:r>
              <w:rPr>
                <w:rFonts w:hint="eastAsia" w:ascii="Times New Roman" w:hAnsi="Times New Roman" w:cs="Times New Roman"/>
                <w:b/>
                <w:bCs/>
                <w:color w:val="auto"/>
                <w:sz w:val="21"/>
                <w:szCs w:val="21"/>
                <w:highlight w:val="none"/>
                <w:lang w:eastAsia="zh-CN"/>
              </w:rPr>
              <w:t>一览</w:t>
            </w:r>
            <w:r>
              <w:rPr>
                <w:rFonts w:ascii="Times New Roman" w:hAnsi="Times New Roman" w:cs="Times New Roman"/>
                <w:b/>
                <w:bCs/>
                <w:color w:val="auto"/>
                <w:sz w:val="21"/>
                <w:szCs w:val="21"/>
                <w:highlight w:val="none"/>
                <w:lang w:eastAsia="zh-CN"/>
              </w:rPr>
              <w:t>表</w:t>
            </w:r>
          </w:p>
          <w:tbl>
            <w:tblPr>
              <w:tblStyle w:val="15"/>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485"/>
              <w:gridCol w:w="1948"/>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vAlign w:val="center"/>
                </w:tcPr>
                <w:p>
                  <w:pPr>
                    <w:jc w:val="center"/>
                    <w:rPr>
                      <w:rFonts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车况</w:t>
                  </w:r>
                  <w:r>
                    <w:rPr>
                      <w:rFonts w:ascii="Times New Roman" w:hAnsi="Times New Roman" w:cs="Times New Roman"/>
                      <w:b/>
                      <w:color w:val="auto"/>
                      <w:sz w:val="21"/>
                      <w:szCs w:val="21"/>
                      <w:highlight w:val="none"/>
                      <w:lang w:eastAsia="zh-CN"/>
                    </w:rPr>
                    <w:t>类型</w:t>
                  </w:r>
                </w:p>
              </w:tc>
              <w:tc>
                <w:tcPr>
                  <w:tcW w:w="3485" w:type="dxa"/>
                  <w:vAlign w:val="center"/>
                </w:tcPr>
                <w:p>
                  <w:pPr>
                    <w:jc w:val="center"/>
                    <w:rPr>
                      <w:rFonts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行驶扬尘量[</w:t>
                  </w:r>
                  <w:r>
                    <w:rPr>
                      <w:rFonts w:ascii="Times New Roman" w:hAnsi="Times New Roman" w:cs="Times New Roman"/>
                      <w:b/>
                      <w:color w:val="auto"/>
                      <w:sz w:val="21"/>
                      <w:szCs w:val="21"/>
                      <w:highlight w:val="none"/>
                      <w:lang w:eastAsia="zh-CN"/>
                    </w:rPr>
                    <w:t>kg/ (km·辆</w:t>
                  </w:r>
                  <w:r>
                    <w:rPr>
                      <w:rFonts w:hint="eastAsia" w:ascii="Times New Roman" w:hAnsi="Times New Roman" w:cs="Times New Roman"/>
                      <w:b/>
                      <w:color w:val="auto"/>
                      <w:sz w:val="21"/>
                      <w:szCs w:val="21"/>
                      <w:highlight w:val="none"/>
                      <w:lang w:eastAsia="zh-CN"/>
                    </w:rPr>
                    <w:t>）]</w:t>
                  </w:r>
                </w:p>
              </w:tc>
              <w:tc>
                <w:tcPr>
                  <w:tcW w:w="1948" w:type="dxa"/>
                  <w:vAlign w:val="center"/>
                </w:tcPr>
                <w:p>
                  <w:pPr>
                    <w:jc w:val="center"/>
                    <w:rPr>
                      <w:rFonts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交通</w:t>
                  </w:r>
                  <w:r>
                    <w:rPr>
                      <w:rFonts w:ascii="Times New Roman" w:hAnsi="Times New Roman" w:cs="Times New Roman"/>
                      <w:b/>
                      <w:color w:val="auto"/>
                      <w:sz w:val="21"/>
                      <w:szCs w:val="21"/>
                      <w:highlight w:val="none"/>
                      <w:lang w:eastAsia="zh-CN"/>
                    </w:rPr>
                    <w:t>扬尘</w:t>
                  </w:r>
                  <w:r>
                    <w:rPr>
                      <w:rFonts w:hint="eastAsia" w:ascii="Times New Roman" w:hAnsi="Times New Roman" w:cs="Times New Roman"/>
                      <w:b/>
                      <w:color w:val="auto"/>
                      <w:sz w:val="21"/>
                      <w:szCs w:val="21"/>
                      <w:highlight w:val="none"/>
                      <w:lang w:eastAsia="zh-CN"/>
                    </w:rPr>
                    <w:t>（t</w:t>
                  </w:r>
                  <w:r>
                    <w:rPr>
                      <w:rFonts w:ascii="Times New Roman" w:hAnsi="Times New Roman" w:cs="Times New Roman"/>
                      <w:b/>
                      <w:color w:val="auto"/>
                      <w:sz w:val="21"/>
                      <w:szCs w:val="21"/>
                      <w:highlight w:val="none"/>
                      <w:lang w:eastAsia="zh-CN"/>
                    </w:rPr>
                    <w:t>/a</w:t>
                  </w:r>
                  <w:r>
                    <w:rPr>
                      <w:rFonts w:hint="eastAsia" w:ascii="Times New Roman" w:hAnsi="Times New Roman" w:cs="Times New Roman"/>
                      <w:b/>
                      <w:color w:val="auto"/>
                      <w:sz w:val="21"/>
                      <w:szCs w:val="21"/>
                      <w:highlight w:val="none"/>
                      <w:lang w:eastAsia="zh-CN"/>
                    </w:rPr>
                    <w:t>）</w:t>
                  </w:r>
                </w:p>
              </w:tc>
              <w:tc>
                <w:tcPr>
                  <w:tcW w:w="1944" w:type="dxa"/>
                </w:tcPr>
                <w:p>
                  <w:pPr>
                    <w:jc w:val="center"/>
                    <w:rPr>
                      <w:rFonts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空车</w:t>
                  </w:r>
                </w:p>
              </w:tc>
              <w:tc>
                <w:tcPr>
                  <w:tcW w:w="3485"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0.0</w:t>
                  </w:r>
                  <w:r>
                    <w:rPr>
                      <w:rFonts w:ascii="Times New Roman" w:hAnsi="Times New Roman" w:cs="Times New Roman"/>
                      <w:color w:val="auto"/>
                      <w:sz w:val="21"/>
                      <w:szCs w:val="21"/>
                      <w:highlight w:val="none"/>
                      <w:lang w:eastAsia="zh-CN"/>
                    </w:rPr>
                    <w:t>24</w:t>
                  </w:r>
                </w:p>
              </w:tc>
              <w:tc>
                <w:tcPr>
                  <w:tcW w:w="1948"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0.0</w:t>
                  </w:r>
                  <w:r>
                    <w:rPr>
                      <w:rFonts w:hint="eastAsia" w:ascii="Times New Roman" w:hAnsi="Times New Roman" w:cs="Times New Roman"/>
                      <w:color w:val="auto"/>
                      <w:sz w:val="21"/>
                      <w:szCs w:val="21"/>
                      <w:highlight w:val="none"/>
                      <w:lang w:val="en-US" w:eastAsia="zh-CN"/>
                    </w:rPr>
                    <w:t>2</w:t>
                  </w:r>
                </w:p>
              </w:tc>
              <w:tc>
                <w:tcPr>
                  <w:tcW w:w="1944" w:type="dxa"/>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12</w:t>
                  </w:r>
                  <w:r>
                    <w:rPr>
                      <w:rFonts w:hint="eastAsia" w:ascii="Times New Roman" w:hAnsi="Times New Roman" w:cs="Times New Roman"/>
                      <w:color w:val="auto"/>
                      <w:sz w:val="21"/>
                      <w:szCs w:val="21"/>
                      <w:highlight w:val="none"/>
                      <w:lang w:eastAsia="zh-CN"/>
                    </w:rPr>
                    <w:t>趟/</w:t>
                  </w:r>
                  <w:r>
                    <w:rPr>
                      <w:rFonts w:ascii="Times New Roman" w:hAnsi="Times New Roman" w:cs="Times New Roman"/>
                      <w:color w:val="auto"/>
                      <w:sz w:val="21"/>
                      <w:szCs w:val="21"/>
                      <w:highlight w:val="none"/>
                      <w:lang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满载</w:t>
                  </w:r>
                </w:p>
              </w:tc>
              <w:tc>
                <w:tcPr>
                  <w:tcW w:w="3485"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0.</w:t>
                  </w:r>
                  <w:r>
                    <w:rPr>
                      <w:rFonts w:ascii="Times New Roman" w:hAnsi="Times New Roman" w:cs="Times New Roman"/>
                      <w:color w:val="auto"/>
                      <w:sz w:val="21"/>
                      <w:szCs w:val="21"/>
                      <w:highlight w:val="none"/>
                      <w:lang w:eastAsia="zh-CN"/>
                    </w:rPr>
                    <w:t>108</w:t>
                  </w:r>
                </w:p>
              </w:tc>
              <w:tc>
                <w:tcPr>
                  <w:tcW w:w="1948"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0.</w:t>
                  </w:r>
                  <w:r>
                    <w:rPr>
                      <w:rFonts w:ascii="Times New Roman" w:hAnsi="Times New Roman" w:cs="Times New Roman"/>
                      <w:color w:val="auto"/>
                      <w:sz w:val="21"/>
                      <w:szCs w:val="21"/>
                      <w:highlight w:val="none"/>
                      <w:lang w:eastAsia="zh-CN"/>
                    </w:rPr>
                    <w:t>0</w:t>
                  </w:r>
                  <w:r>
                    <w:rPr>
                      <w:rFonts w:hint="eastAsia" w:ascii="Times New Roman" w:hAnsi="Times New Roman" w:cs="Times New Roman"/>
                      <w:color w:val="auto"/>
                      <w:sz w:val="21"/>
                      <w:szCs w:val="21"/>
                      <w:highlight w:val="none"/>
                      <w:lang w:val="en-US" w:eastAsia="zh-CN"/>
                    </w:rPr>
                    <w:t>9</w:t>
                  </w:r>
                </w:p>
              </w:tc>
              <w:tc>
                <w:tcPr>
                  <w:tcW w:w="1944" w:type="dxa"/>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eastAsia="zh-CN"/>
                    </w:rPr>
                    <w:t>2趟/</w:t>
                  </w:r>
                  <w:r>
                    <w:rPr>
                      <w:rFonts w:ascii="Times New Roman" w:hAnsi="Times New Roman" w:cs="Times New Roman"/>
                      <w:color w:val="auto"/>
                      <w:sz w:val="21"/>
                      <w:szCs w:val="21"/>
                      <w:highlight w:val="none"/>
                      <w:lang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vAlign w:val="center"/>
                </w:tcPr>
                <w:p>
                  <w:pPr>
                    <w:jc w:val="center"/>
                    <w:rPr>
                      <w:rFonts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合    计</w:t>
                  </w:r>
                </w:p>
              </w:tc>
              <w:tc>
                <w:tcPr>
                  <w:tcW w:w="3485" w:type="dxa"/>
                  <w:vAlign w:val="center"/>
                </w:tcPr>
                <w:p>
                  <w:pPr>
                    <w:jc w:val="center"/>
                    <w:rPr>
                      <w:rFonts w:ascii="Times New Roman" w:hAnsi="Times New Roman" w:cs="Times New Roman"/>
                      <w:b/>
                      <w:color w:val="auto"/>
                      <w:sz w:val="21"/>
                      <w:szCs w:val="21"/>
                      <w:highlight w:val="none"/>
                      <w:lang w:eastAsia="zh-CN"/>
                    </w:rPr>
                  </w:pPr>
                </w:p>
              </w:tc>
              <w:tc>
                <w:tcPr>
                  <w:tcW w:w="1948" w:type="dxa"/>
                  <w:vAlign w:val="center"/>
                </w:tcPr>
                <w:p>
                  <w:pPr>
                    <w:jc w:val="center"/>
                    <w:rPr>
                      <w:rFonts w:hint="default"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eastAsia="zh-CN"/>
                    </w:rPr>
                    <w:t>0.</w:t>
                  </w:r>
                  <w:r>
                    <w:rPr>
                      <w:rFonts w:hint="eastAsia" w:ascii="Times New Roman" w:hAnsi="Times New Roman" w:cs="Times New Roman"/>
                      <w:b/>
                      <w:color w:val="auto"/>
                      <w:sz w:val="21"/>
                      <w:szCs w:val="21"/>
                      <w:highlight w:val="none"/>
                      <w:lang w:val="en-US" w:eastAsia="zh-CN"/>
                    </w:rPr>
                    <w:t>11</w:t>
                  </w:r>
                </w:p>
              </w:tc>
              <w:tc>
                <w:tcPr>
                  <w:tcW w:w="1944" w:type="dxa"/>
                </w:tcPr>
                <w:p>
                  <w:pPr>
                    <w:jc w:val="center"/>
                    <w:rPr>
                      <w:rFonts w:ascii="Times New Roman" w:hAnsi="Times New Roman" w:cs="Times New Roman"/>
                      <w:b/>
                      <w:color w:val="auto"/>
                      <w:sz w:val="21"/>
                      <w:szCs w:val="21"/>
                      <w:highlight w:val="none"/>
                      <w:lang w:eastAsia="zh-CN"/>
                    </w:rPr>
                  </w:pPr>
                </w:p>
              </w:tc>
            </w:tr>
          </w:tbl>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由</w:t>
            </w:r>
            <w:r>
              <w:rPr>
                <w:rFonts w:ascii="Times New Roman" w:hAnsi="Times New Roman" w:cs="Times New Roman"/>
                <w:color w:val="auto"/>
                <w:sz w:val="21"/>
                <w:szCs w:val="21"/>
                <w:highlight w:val="none"/>
                <w:lang w:eastAsia="zh-CN"/>
              </w:rPr>
              <w:t>上表可知，</w:t>
            </w:r>
            <w:r>
              <w:rPr>
                <w:rFonts w:hint="eastAsia" w:ascii="Times New Roman" w:hAnsi="Times New Roman" w:cs="Times New Roman"/>
                <w:color w:val="auto"/>
                <w:sz w:val="21"/>
                <w:szCs w:val="21"/>
                <w:highlight w:val="none"/>
                <w:lang w:eastAsia="zh-CN"/>
              </w:rPr>
              <w:t>项目</w:t>
            </w:r>
            <w:r>
              <w:rPr>
                <w:rFonts w:ascii="Times New Roman" w:hAnsi="Times New Roman" w:cs="Times New Roman"/>
                <w:color w:val="auto"/>
                <w:sz w:val="21"/>
                <w:szCs w:val="21"/>
                <w:highlight w:val="none"/>
                <w:lang w:eastAsia="zh-CN"/>
              </w:rPr>
              <w:t>交通扬尘产生量为</w:t>
            </w:r>
            <w:r>
              <w:rPr>
                <w:rFonts w:hint="eastAsia" w:ascii="Times New Roman" w:hAnsi="Times New Roman" w:cs="Times New Roman"/>
                <w:color w:val="auto"/>
                <w:sz w:val="21"/>
                <w:szCs w:val="21"/>
                <w:highlight w:val="none"/>
                <w:lang w:eastAsia="zh-CN"/>
              </w:rPr>
              <w:t>0.</w:t>
            </w:r>
            <w:r>
              <w:rPr>
                <w:rFonts w:hint="eastAsia" w:ascii="Times New Roman" w:hAnsi="Times New Roman" w:cs="Times New Roman"/>
                <w:color w:val="auto"/>
                <w:sz w:val="21"/>
                <w:szCs w:val="21"/>
                <w:highlight w:val="none"/>
                <w:lang w:val="en-US" w:eastAsia="zh-CN"/>
              </w:rPr>
              <w:t>11</w:t>
            </w:r>
            <w:r>
              <w:rPr>
                <w:rFonts w:ascii="Times New Roman" w:hAnsi="Times New Roman" w:cs="Times New Roman"/>
                <w:color w:val="auto"/>
                <w:sz w:val="21"/>
                <w:szCs w:val="21"/>
                <w:highlight w:val="none"/>
                <w:lang w:eastAsia="zh-CN"/>
              </w:rPr>
              <w:t>t/a。</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（3）尾气</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本项目采矿区机械设备主要为挖掘机、铲车、自卸载重汽车等，年用柴油</w:t>
            </w:r>
            <w:r>
              <w:rPr>
                <w:rFonts w:ascii="Times New Roman" w:hAnsi="Times New Roman" w:cs="Times New Roman"/>
                <w:color w:val="auto"/>
                <w:sz w:val="21"/>
                <w:szCs w:val="21"/>
                <w:highlight w:val="none"/>
                <w:lang w:eastAsia="zh-CN"/>
              </w:rPr>
              <w:t>51t，燃烧柴油过程中将产生SO</w:t>
            </w:r>
            <w:r>
              <w:rPr>
                <w:rFonts w:ascii="Times New Roman" w:hAnsi="Times New Roman" w:cs="Times New Roman"/>
                <w:color w:val="auto"/>
                <w:sz w:val="21"/>
                <w:szCs w:val="21"/>
                <w:highlight w:val="none"/>
                <w:vertAlign w:val="subscript"/>
                <w:lang w:eastAsia="zh-CN"/>
              </w:rPr>
              <w:t>2</w:t>
            </w:r>
            <w:r>
              <w:rPr>
                <w:rFonts w:ascii="Times New Roman" w:hAnsi="Times New Roman" w:cs="Times New Roman"/>
                <w:color w:val="auto"/>
                <w:sz w:val="21"/>
                <w:szCs w:val="21"/>
                <w:highlight w:val="none"/>
                <w:lang w:eastAsia="zh-CN"/>
              </w:rPr>
              <w:t>、NOx、CO、碳氢化合物等污染物。根据</w:t>
            </w:r>
            <w:r>
              <w:rPr>
                <w:rFonts w:hint="eastAsia" w:ascii="Times New Roman" w:hAnsi="Times New Roman" w:cs="Times New Roman"/>
                <w:color w:val="auto"/>
                <w:sz w:val="21"/>
                <w:szCs w:val="21"/>
                <w:highlight w:val="none"/>
                <w:lang w:eastAsia="zh-CN"/>
              </w:rPr>
              <w:t>相关资料</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单位</w:t>
            </w:r>
            <w:r>
              <w:rPr>
                <w:rFonts w:ascii="Times New Roman" w:hAnsi="Times New Roman" w:cs="Times New Roman"/>
                <w:color w:val="auto"/>
                <w:sz w:val="21"/>
                <w:szCs w:val="21"/>
                <w:highlight w:val="none"/>
                <w:lang w:eastAsia="zh-CN"/>
              </w:rPr>
              <w:t>柴油</w:t>
            </w:r>
            <w:r>
              <w:rPr>
                <w:rFonts w:hint="eastAsia" w:ascii="Times New Roman" w:hAnsi="Times New Roman" w:cs="Times New Roman"/>
                <w:color w:val="auto"/>
                <w:sz w:val="21"/>
                <w:szCs w:val="21"/>
                <w:highlight w:val="none"/>
                <w:lang w:eastAsia="zh-CN"/>
              </w:rPr>
              <w:t>（1</w:t>
            </w:r>
            <w:r>
              <w:rPr>
                <w:rFonts w:ascii="Times New Roman" w:hAnsi="Times New Roman" w:cs="Times New Roman"/>
                <w:color w:val="auto"/>
                <w:sz w:val="21"/>
                <w:szCs w:val="21"/>
                <w:highlight w:val="none"/>
                <w:lang w:eastAsia="zh-CN"/>
              </w:rPr>
              <w:t>t</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燃烧排放</w:t>
            </w:r>
            <w:r>
              <w:rPr>
                <w:rFonts w:hint="eastAsia" w:ascii="Times New Roman" w:hAnsi="Times New Roman" w:cs="Times New Roman"/>
                <w:color w:val="auto"/>
                <w:sz w:val="21"/>
                <w:szCs w:val="21"/>
                <w:highlight w:val="none"/>
                <w:lang w:eastAsia="zh-CN"/>
              </w:rPr>
              <w:t>污染物的源强</w:t>
            </w:r>
            <w:r>
              <w:rPr>
                <w:rFonts w:ascii="Times New Roman" w:hAnsi="Times New Roman" w:cs="Times New Roman"/>
                <w:color w:val="auto"/>
                <w:sz w:val="21"/>
                <w:szCs w:val="21"/>
                <w:highlight w:val="none"/>
                <w:lang w:eastAsia="zh-CN"/>
              </w:rPr>
              <w:t>详见表</w:t>
            </w:r>
            <w:r>
              <w:rPr>
                <w:rFonts w:hint="eastAsia" w:ascii="Times New Roman" w:hAnsi="Times New Roman" w:cs="Times New Roman"/>
                <w:color w:val="auto"/>
                <w:sz w:val="21"/>
                <w:szCs w:val="21"/>
                <w:highlight w:val="none"/>
                <w:lang w:val="en-US" w:eastAsia="zh-CN"/>
              </w:rPr>
              <w:t>4-4</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本项目尾气</w:t>
            </w:r>
            <w:r>
              <w:rPr>
                <w:rFonts w:ascii="Times New Roman" w:hAnsi="Times New Roman" w:cs="Times New Roman"/>
                <w:color w:val="auto"/>
                <w:sz w:val="21"/>
                <w:szCs w:val="21"/>
                <w:highlight w:val="none"/>
                <w:lang w:eastAsia="zh-CN"/>
              </w:rPr>
              <w:t>排放污染物详情见表</w:t>
            </w:r>
            <w:r>
              <w:rPr>
                <w:rFonts w:hint="eastAsia" w:ascii="Times New Roman" w:hAnsi="Times New Roman" w:cs="Times New Roman"/>
                <w:color w:val="auto"/>
                <w:sz w:val="21"/>
                <w:szCs w:val="21"/>
                <w:highlight w:val="none"/>
                <w:lang w:val="en-US" w:eastAsia="zh-CN"/>
              </w:rPr>
              <w:t>4-5</w:t>
            </w:r>
            <w:r>
              <w:rPr>
                <w:rFonts w:ascii="Times New Roman" w:hAnsi="Times New Roman" w:cs="Times New Roman"/>
                <w:color w:val="auto"/>
                <w:sz w:val="21"/>
                <w:szCs w:val="21"/>
                <w:highlight w:val="none"/>
                <w:lang w:eastAsia="zh-CN"/>
              </w:rPr>
              <w:t>。</w:t>
            </w:r>
          </w:p>
          <w:p>
            <w:pPr>
              <w:pStyle w:val="18"/>
              <w:jc w:val="center"/>
              <w:rPr>
                <w:rFonts w:ascii="Times New Roman" w:hAnsi="Times New Roman" w:cs="Times New Roman"/>
                <w:color w:val="auto"/>
                <w:sz w:val="21"/>
                <w:szCs w:val="21"/>
                <w:highlight w:val="none"/>
                <w:lang w:eastAsia="zh-CN"/>
              </w:rPr>
            </w:pPr>
            <w:r>
              <w:rPr>
                <w:rFonts w:ascii="Times New Roman" w:hAnsi="Times New Roman" w:cs="Times New Roman"/>
                <w:b/>
                <w:bCs/>
                <w:color w:val="auto"/>
                <w:sz w:val="21"/>
                <w:szCs w:val="21"/>
                <w:highlight w:val="none"/>
                <w:lang w:eastAsia="zh-CN"/>
              </w:rPr>
              <w:t>表</w:t>
            </w:r>
            <w:r>
              <w:rPr>
                <w:rFonts w:hint="eastAsia" w:ascii="Times New Roman" w:hAnsi="Times New Roman" w:cs="Times New Roman"/>
                <w:b/>
                <w:bCs/>
                <w:color w:val="auto"/>
                <w:sz w:val="21"/>
                <w:szCs w:val="21"/>
                <w:highlight w:val="none"/>
                <w:lang w:val="en-US" w:eastAsia="zh-CN"/>
              </w:rPr>
              <w:t>4-4</w:t>
            </w:r>
            <w:r>
              <w:rPr>
                <w:rFonts w:ascii="Times New Roman" w:hAnsi="Times New Roman" w:cs="Times New Roman"/>
                <w:b/>
                <w:bCs/>
                <w:color w:val="auto"/>
                <w:sz w:val="21"/>
                <w:szCs w:val="21"/>
                <w:highlight w:val="none"/>
                <w:lang w:eastAsia="zh-CN"/>
              </w:rPr>
              <w:t xml:space="preserve">    </w:t>
            </w:r>
            <w:r>
              <w:rPr>
                <w:rFonts w:hint="eastAsia" w:ascii="Times New Roman" w:hAnsi="Times New Roman" w:cs="Times New Roman"/>
                <w:b/>
                <w:bCs/>
                <w:color w:val="auto"/>
                <w:sz w:val="21"/>
                <w:szCs w:val="21"/>
                <w:highlight w:val="none"/>
                <w:lang w:eastAsia="zh-CN"/>
              </w:rPr>
              <w:t>柴油燃烧（1</w:t>
            </w:r>
            <w:r>
              <w:rPr>
                <w:rFonts w:ascii="Times New Roman" w:hAnsi="Times New Roman" w:cs="Times New Roman"/>
                <w:b/>
                <w:bCs/>
                <w:color w:val="auto"/>
                <w:sz w:val="21"/>
                <w:szCs w:val="21"/>
                <w:highlight w:val="none"/>
                <w:lang w:eastAsia="zh-CN"/>
              </w:rPr>
              <w:t>t</w:t>
            </w:r>
            <w:r>
              <w:rPr>
                <w:rFonts w:hint="eastAsia" w:ascii="Times New Roman" w:hAnsi="Times New Roman" w:cs="Times New Roman"/>
                <w:b/>
                <w:bCs/>
                <w:color w:val="auto"/>
                <w:sz w:val="21"/>
                <w:szCs w:val="21"/>
                <w:highlight w:val="none"/>
                <w:lang w:eastAsia="zh-CN"/>
              </w:rPr>
              <w:t>）污染物源强</w:t>
            </w:r>
            <w:r>
              <w:rPr>
                <w:rFonts w:ascii="Times New Roman" w:hAnsi="Times New Roman" w:cs="Times New Roman"/>
                <w:b/>
                <w:bCs/>
                <w:color w:val="auto"/>
                <w:sz w:val="21"/>
                <w:szCs w:val="21"/>
                <w:highlight w:val="none"/>
                <w:lang w:eastAsia="zh-CN"/>
              </w:rPr>
              <w:t>表</w:t>
            </w:r>
          </w:p>
          <w:tbl>
            <w:tblPr>
              <w:tblStyle w:val="15"/>
              <w:tblW w:w="8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647"/>
              <w:gridCol w:w="1840"/>
              <w:gridCol w:w="1840"/>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污染物</w:t>
                  </w:r>
                </w:p>
              </w:tc>
              <w:tc>
                <w:tcPr>
                  <w:tcW w:w="1647"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SO</w:t>
                  </w:r>
                  <w:r>
                    <w:rPr>
                      <w:rFonts w:ascii="Times New Roman" w:hAnsi="Times New Roman" w:cs="Times New Roman"/>
                      <w:b/>
                      <w:bCs/>
                      <w:color w:val="auto"/>
                      <w:sz w:val="21"/>
                      <w:szCs w:val="21"/>
                      <w:highlight w:val="none"/>
                      <w:vertAlign w:val="subscript"/>
                      <w:lang w:eastAsia="zh-CN"/>
                    </w:rPr>
                    <w:t>2</w:t>
                  </w:r>
                </w:p>
              </w:tc>
              <w:tc>
                <w:tcPr>
                  <w:tcW w:w="1840"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NOx</w:t>
                  </w:r>
                </w:p>
              </w:tc>
              <w:tc>
                <w:tcPr>
                  <w:tcW w:w="1840"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CO</w:t>
                  </w:r>
                </w:p>
              </w:tc>
              <w:tc>
                <w:tcPr>
                  <w:tcW w:w="1702" w:type="dxa"/>
                  <w:vAlign w:val="center"/>
                </w:tcPr>
                <w:p>
                  <w:pPr>
                    <w:jc w:val="center"/>
                    <w:rPr>
                      <w:rFonts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碳氢化合物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产生量（kg）</w:t>
                  </w:r>
                </w:p>
              </w:tc>
              <w:tc>
                <w:tcPr>
                  <w:tcW w:w="16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3</w:t>
                  </w:r>
                  <w:r>
                    <w:rPr>
                      <w:rFonts w:ascii="Times New Roman" w:hAnsi="Times New Roman" w:cs="Times New Roman"/>
                      <w:color w:val="auto"/>
                      <w:sz w:val="21"/>
                      <w:szCs w:val="21"/>
                      <w:highlight w:val="none"/>
                      <w:lang w:eastAsia="zh-CN"/>
                    </w:rPr>
                    <w:t>.522</w:t>
                  </w:r>
                </w:p>
              </w:tc>
              <w:tc>
                <w:tcPr>
                  <w:tcW w:w="1840"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4</w:t>
                  </w:r>
                  <w:r>
                    <w:rPr>
                      <w:rFonts w:ascii="Times New Roman" w:hAnsi="Times New Roman" w:cs="Times New Roman"/>
                      <w:color w:val="auto"/>
                      <w:sz w:val="21"/>
                      <w:szCs w:val="21"/>
                      <w:highlight w:val="none"/>
                      <w:lang w:eastAsia="zh-CN"/>
                    </w:rPr>
                    <w:t>8.263</w:t>
                  </w:r>
                </w:p>
              </w:tc>
              <w:tc>
                <w:tcPr>
                  <w:tcW w:w="1840"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w:t>
                  </w:r>
                  <w:r>
                    <w:rPr>
                      <w:rFonts w:ascii="Times New Roman" w:hAnsi="Times New Roman" w:cs="Times New Roman"/>
                      <w:color w:val="auto"/>
                      <w:sz w:val="21"/>
                      <w:szCs w:val="21"/>
                      <w:highlight w:val="none"/>
                      <w:lang w:eastAsia="zh-CN"/>
                    </w:rPr>
                    <w:t>9.349</w:t>
                  </w:r>
                </w:p>
              </w:tc>
              <w:tc>
                <w:tcPr>
                  <w:tcW w:w="1702"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4</w:t>
                  </w:r>
                  <w:r>
                    <w:rPr>
                      <w:rFonts w:ascii="Times New Roman" w:hAnsi="Times New Roman" w:cs="Times New Roman"/>
                      <w:color w:val="auto"/>
                      <w:sz w:val="21"/>
                      <w:szCs w:val="21"/>
                      <w:highlight w:val="none"/>
                      <w:lang w:eastAsia="zh-CN"/>
                    </w:rPr>
                    <w:t>.826</w:t>
                  </w:r>
                </w:p>
              </w:tc>
            </w:tr>
          </w:tbl>
          <w:p>
            <w:pPr>
              <w:pStyle w:val="18"/>
              <w:jc w:val="center"/>
              <w:rPr>
                <w:rFonts w:ascii="Times New Roman" w:hAnsi="Times New Roman" w:cs="Times New Roman"/>
                <w:color w:val="auto"/>
                <w:sz w:val="21"/>
                <w:szCs w:val="21"/>
                <w:highlight w:val="none"/>
                <w:lang w:eastAsia="zh-CN"/>
              </w:rPr>
            </w:pPr>
            <w:r>
              <w:rPr>
                <w:rFonts w:ascii="Times New Roman" w:hAnsi="Times New Roman" w:cs="Times New Roman"/>
                <w:b/>
                <w:bCs/>
                <w:color w:val="auto"/>
                <w:sz w:val="21"/>
                <w:szCs w:val="21"/>
                <w:highlight w:val="none"/>
                <w:lang w:eastAsia="zh-CN"/>
              </w:rPr>
              <w:t>表</w:t>
            </w:r>
            <w:r>
              <w:rPr>
                <w:rFonts w:hint="eastAsia" w:ascii="Times New Roman" w:hAnsi="Times New Roman" w:cs="Times New Roman"/>
                <w:b/>
                <w:bCs/>
                <w:color w:val="auto"/>
                <w:sz w:val="21"/>
                <w:szCs w:val="21"/>
                <w:highlight w:val="none"/>
                <w:lang w:val="en-US" w:eastAsia="zh-CN"/>
              </w:rPr>
              <w:t>4-5</w:t>
            </w:r>
            <w:r>
              <w:rPr>
                <w:rFonts w:ascii="Times New Roman" w:hAnsi="Times New Roman" w:cs="Times New Roman"/>
                <w:b/>
                <w:bCs/>
                <w:color w:val="auto"/>
                <w:sz w:val="21"/>
                <w:szCs w:val="21"/>
                <w:highlight w:val="none"/>
                <w:lang w:eastAsia="zh-CN"/>
              </w:rPr>
              <w:t xml:space="preserve">    </w:t>
            </w:r>
            <w:r>
              <w:rPr>
                <w:rFonts w:hint="eastAsia" w:ascii="Times New Roman" w:hAnsi="Times New Roman" w:cs="Times New Roman"/>
                <w:b/>
                <w:bCs/>
                <w:color w:val="auto"/>
                <w:sz w:val="21"/>
                <w:szCs w:val="21"/>
                <w:highlight w:val="none"/>
                <w:lang w:eastAsia="zh-CN"/>
              </w:rPr>
              <w:t>本项目尾气污染物排放一览</w:t>
            </w:r>
            <w:r>
              <w:rPr>
                <w:rFonts w:ascii="Times New Roman" w:hAnsi="Times New Roman" w:cs="Times New Roman"/>
                <w:b/>
                <w:bCs/>
                <w:color w:val="auto"/>
                <w:sz w:val="21"/>
                <w:szCs w:val="21"/>
                <w:highlight w:val="none"/>
                <w:lang w:eastAsia="zh-CN"/>
              </w:rPr>
              <w:t>表</w:t>
            </w:r>
          </w:p>
          <w:tbl>
            <w:tblPr>
              <w:tblStyle w:val="15"/>
              <w:tblW w:w="8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647"/>
              <w:gridCol w:w="1840"/>
              <w:gridCol w:w="1840"/>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02" w:type="dxa"/>
                  <w:vAlign w:val="center"/>
                </w:tcPr>
                <w:p>
                  <w:pPr>
                    <w:jc w:val="center"/>
                    <w:rPr>
                      <w:rFonts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尾气</w:t>
                  </w:r>
                  <w:r>
                    <w:rPr>
                      <w:rFonts w:ascii="Times New Roman" w:hAnsi="Times New Roman" w:cs="Times New Roman"/>
                      <w:b/>
                      <w:bCs/>
                      <w:color w:val="auto"/>
                      <w:sz w:val="21"/>
                      <w:szCs w:val="21"/>
                      <w:highlight w:val="none"/>
                      <w:lang w:eastAsia="zh-CN"/>
                    </w:rPr>
                    <w:t>污染物</w:t>
                  </w:r>
                </w:p>
              </w:tc>
              <w:tc>
                <w:tcPr>
                  <w:tcW w:w="1647"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SO</w:t>
                  </w:r>
                  <w:r>
                    <w:rPr>
                      <w:rFonts w:ascii="Times New Roman" w:hAnsi="Times New Roman" w:cs="Times New Roman"/>
                      <w:b/>
                      <w:bCs/>
                      <w:color w:val="auto"/>
                      <w:sz w:val="21"/>
                      <w:szCs w:val="21"/>
                      <w:highlight w:val="none"/>
                      <w:vertAlign w:val="subscript"/>
                      <w:lang w:eastAsia="zh-CN"/>
                    </w:rPr>
                    <w:t>2</w:t>
                  </w:r>
                </w:p>
              </w:tc>
              <w:tc>
                <w:tcPr>
                  <w:tcW w:w="1840"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NOx</w:t>
                  </w:r>
                </w:p>
              </w:tc>
              <w:tc>
                <w:tcPr>
                  <w:tcW w:w="1840"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CO</w:t>
                  </w:r>
                </w:p>
              </w:tc>
              <w:tc>
                <w:tcPr>
                  <w:tcW w:w="1702" w:type="dxa"/>
                  <w:vAlign w:val="center"/>
                </w:tcPr>
                <w:p>
                  <w:pPr>
                    <w:jc w:val="center"/>
                    <w:rPr>
                      <w:rFonts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碳氢化合物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排放</w:t>
                  </w:r>
                  <w:r>
                    <w:rPr>
                      <w:rFonts w:ascii="Times New Roman" w:hAnsi="Times New Roman" w:cs="Times New Roman"/>
                      <w:color w:val="auto"/>
                      <w:sz w:val="21"/>
                      <w:szCs w:val="21"/>
                      <w:highlight w:val="none"/>
                      <w:lang w:eastAsia="zh-CN"/>
                    </w:rPr>
                    <w:t>量（t/a）</w:t>
                  </w:r>
                </w:p>
              </w:tc>
              <w:tc>
                <w:tcPr>
                  <w:tcW w:w="16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0</w:t>
                  </w:r>
                  <w:r>
                    <w:rPr>
                      <w:rFonts w:ascii="Times New Roman" w:hAnsi="Times New Roman" w:cs="Times New Roman"/>
                      <w:color w:val="auto"/>
                      <w:sz w:val="21"/>
                      <w:szCs w:val="21"/>
                      <w:highlight w:val="none"/>
                      <w:lang w:eastAsia="zh-CN"/>
                    </w:rPr>
                    <w:t>.18</w:t>
                  </w:r>
                </w:p>
              </w:tc>
              <w:tc>
                <w:tcPr>
                  <w:tcW w:w="1840"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2.46</w:t>
                  </w:r>
                </w:p>
              </w:tc>
              <w:tc>
                <w:tcPr>
                  <w:tcW w:w="1840"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1.50</w:t>
                  </w:r>
                </w:p>
              </w:tc>
              <w:tc>
                <w:tcPr>
                  <w:tcW w:w="1702"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0</w:t>
                  </w:r>
                  <w:r>
                    <w:rPr>
                      <w:rFonts w:ascii="Times New Roman" w:hAnsi="Times New Roman" w:cs="Times New Roman"/>
                      <w:color w:val="auto"/>
                      <w:sz w:val="21"/>
                      <w:szCs w:val="21"/>
                      <w:highlight w:val="none"/>
                      <w:lang w:eastAsia="zh-CN"/>
                    </w:rPr>
                    <w:t>.25</w:t>
                  </w:r>
                </w:p>
              </w:tc>
            </w:tr>
          </w:tbl>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项目区域地势开阔，空气对流强烈，有利于大气污染物的扩散和稀释，不会产生累积地污染影响，尾气污染源分布相对较为分散，尾气影响距离和范围较小。</w:t>
            </w:r>
          </w:p>
          <w:p>
            <w:pPr>
              <w:pStyle w:val="18"/>
              <w:spacing w:line="360" w:lineRule="auto"/>
              <w:jc w:val="both"/>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2、运营期水环境影响分析</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项目运营期废水主要为：抑尘废水、生活污水。</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（1）抑尘废水</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对采挖扬尘、装载扬尘、交通扬尘洒水抑尘过程中，会产生抑尘废水，其中含有的污染物主要为S</w:t>
            </w:r>
            <w:r>
              <w:rPr>
                <w:rFonts w:ascii="Times New Roman" w:hAnsi="Times New Roman" w:cs="Times New Roman"/>
                <w:color w:val="auto"/>
                <w:sz w:val="21"/>
                <w:szCs w:val="21"/>
                <w:highlight w:val="none"/>
                <w:lang w:eastAsia="zh-CN"/>
              </w:rPr>
              <w:t>S</w:t>
            </w:r>
            <w:r>
              <w:rPr>
                <w:rFonts w:hint="eastAsia" w:ascii="Times New Roman" w:hAnsi="Times New Roman" w:cs="Times New Roman"/>
                <w:color w:val="auto"/>
                <w:sz w:val="21"/>
                <w:szCs w:val="21"/>
                <w:highlight w:val="none"/>
                <w:lang w:eastAsia="zh-CN"/>
              </w:rPr>
              <w:t>，项目抑尘用水量约为</w:t>
            </w:r>
            <w:r>
              <w:rPr>
                <w:rFonts w:hint="eastAsia" w:ascii="Times New Roman" w:hAnsi="Times New Roman" w:cs="Times New Roman"/>
                <w:color w:val="auto"/>
                <w:sz w:val="21"/>
                <w:szCs w:val="21"/>
                <w:highlight w:val="none"/>
                <w:lang w:val="en-US" w:eastAsia="zh-CN"/>
              </w:rPr>
              <w:t>1000</w:t>
            </w:r>
            <w:r>
              <w:rPr>
                <w:rFonts w:ascii="Times New Roman" w:hAnsi="Times New Roman" w:cs="Times New Roman"/>
                <w:color w:val="auto"/>
                <w:sz w:val="21"/>
                <w:szCs w:val="21"/>
                <w:highlight w:val="none"/>
                <w:lang w:eastAsia="zh-CN"/>
              </w:rPr>
              <w:t>m³/a</w:t>
            </w:r>
            <w:r>
              <w:rPr>
                <w:rFonts w:hint="eastAsia" w:ascii="Times New Roman" w:hAnsi="Times New Roman" w:cs="Times New Roman"/>
                <w:color w:val="auto"/>
                <w:sz w:val="21"/>
                <w:szCs w:val="21"/>
                <w:highlight w:val="none"/>
                <w:lang w:eastAsia="zh-CN"/>
              </w:rPr>
              <w:t>，全部转化为抑尘废水，抑尘废水自然蒸发。</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（2）生活污水</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项目运营期劳动定员</w:t>
            </w:r>
            <w:r>
              <w:rPr>
                <w:rFonts w:hint="eastAsia" w:ascii="Times New Roman" w:hAnsi="Times New Roman" w:cs="Times New Roman"/>
                <w:color w:val="auto"/>
                <w:sz w:val="21"/>
                <w:szCs w:val="21"/>
                <w:highlight w:val="none"/>
                <w:lang w:val="en-US" w:eastAsia="zh-CN"/>
              </w:rPr>
              <w:t>5</w:t>
            </w:r>
            <w:r>
              <w:rPr>
                <w:rFonts w:ascii="Times New Roman" w:hAnsi="Times New Roman" w:cs="Times New Roman"/>
                <w:color w:val="auto"/>
                <w:sz w:val="21"/>
                <w:szCs w:val="21"/>
                <w:highlight w:val="none"/>
                <w:lang w:eastAsia="zh-CN"/>
              </w:rPr>
              <w:t>人，根据《新疆维吾尔自治区生活用水定额》确定本项目员工生活用水定额为</w:t>
            </w:r>
            <w:r>
              <w:rPr>
                <w:rFonts w:hint="eastAsia" w:ascii="Times New Roman" w:hAnsi="Times New Roman" w:cs="Times New Roman"/>
                <w:color w:val="auto"/>
                <w:sz w:val="21"/>
                <w:szCs w:val="21"/>
                <w:highlight w:val="none"/>
                <w:lang w:eastAsia="zh-CN"/>
              </w:rPr>
              <w:t>5</w:t>
            </w:r>
            <w:r>
              <w:rPr>
                <w:rFonts w:ascii="Times New Roman" w:hAnsi="Times New Roman" w:cs="Times New Roman"/>
                <w:color w:val="auto"/>
                <w:sz w:val="21"/>
                <w:szCs w:val="21"/>
                <w:highlight w:val="none"/>
                <w:lang w:eastAsia="zh-CN"/>
              </w:rPr>
              <w:t>0L/人▪d，</w:t>
            </w:r>
            <w:r>
              <w:rPr>
                <w:rFonts w:hint="eastAsia" w:ascii="Times New Roman" w:hAnsi="Times New Roman" w:cs="Times New Roman"/>
                <w:color w:val="auto"/>
                <w:sz w:val="21"/>
                <w:szCs w:val="21"/>
                <w:highlight w:val="none"/>
                <w:lang w:eastAsia="zh-CN"/>
              </w:rPr>
              <w:t>项目年生产2</w:t>
            </w:r>
            <w:r>
              <w:rPr>
                <w:rFonts w:hint="eastAsia" w:ascii="Times New Roman" w:hAnsi="Times New Roman" w:cs="Times New Roman"/>
                <w:color w:val="auto"/>
                <w:sz w:val="21"/>
                <w:szCs w:val="21"/>
                <w:highlight w:val="none"/>
                <w:lang w:val="en-US" w:eastAsia="zh-CN"/>
              </w:rPr>
              <w:t>5</w:t>
            </w:r>
            <w:r>
              <w:rPr>
                <w:rFonts w:ascii="Times New Roman" w:hAnsi="Times New Roman" w:cs="Times New Roman"/>
                <w:color w:val="auto"/>
                <w:sz w:val="21"/>
                <w:szCs w:val="21"/>
                <w:highlight w:val="none"/>
                <w:lang w:eastAsia="zh-CN"/>
              </w:rPr>
              <w:t>0d</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则项目生活用水量约为</w:t>
            </w:r>
            <w:r>
              <w:rPr>
                <w:rFonts w:hint="eastAsia" w:ascii="Times New Roman" w:hAnsi="Times New Roman" w:cs="Times New Roman"/>
                <w:color w:val="auto"/>
                <w:sz w:val="21"/>
                <w:szCs w:val="21"/>
                <w:highlight w:val="none"/>
                <w:lang w:val="en-US" w:eastAsia="zh-CN"/>
              </w:rPr>
              <w:t>0.25</w:t>
            </w:r>
            <w:r>
              <w:rPr>
                <w:rFonts w:ascii="Times New Roman" w:hAnsi="Times New Roman" w:cs="Times New Roman"/>
                <w:color w:val="auto"/>
                <w:sz w:val="21"/>
                <w:szCs w:val="21"/>
                <w:highlight w:val="none"/>
                <w:lang w:eastAsia="zh-CN"/>
              </w:rPr>
              <w:t>m³/d（</w:t>
            </w:r>
            <w:r>
              <w:rPr>
                <w:rFonts w:hint="eastAsia" w:ascii="Times New Roman" w:hAnsi="Times New Roman" w:cs="Times New Roman"/>
                <w:color w:val="auto"/>
                <w:sz w:val="21"/>
                <w:szCs w:val="21"/>
                <w:highlight w:val="none"/>
                <w:lang w:val="en-US" w:eastAsia="zh-CN"/>
              </w:rPr>
              <w:t>62.5</w:t>
            </w:r>
            <w:r>
              <w:rPr>
                <w:rFonts w:ascii="Times New Roman" w:hAnsi="Times New Roman" w:cs="Times New Roman"/>
                <w:color w:val="auto"/>
                <w:sz w:val="21"/>
                <w:szCs w:val="21"/>
                <w:highlight w:val="none"/>
                <w:lang w:eastAsia="zh-CN"/>
              </w:rPr>
              <w:t>m³/a）。生活用水排污系数取0.8，则生活污水排放量为</w:t>
            </w:r>
            <w:r>
              <w:rPr>
                <w:rFonts w:hint="eastAsia" w:ascii="Times New Roman" w:hAnsi="Times New Roman" w:cs="Times New Roman"/>
                <w:color w:val="auto"/>
                <w:sz w:val="21"/>
                <w:szCs w:val="21"/>
                <w:highlight w:val="none"/>
                <w:lang w:val="en-US" w:eastAsia="zh-CN"/>
              </w:rPr>
              <w:t>0.2</w:t>
            </w:r>
            <w:r>
              <w:rPr>
                <w:rFonts w:ascii="Times New Roman" w:hAnsi="Times New Roman" w:cs="Times New Roman"/>
                <w:color w:val="auto"/>
                <w:sz w:val="21"/>
                <w:szCs w:val="21"/>
                <w:highlight w:val="none"/>
                <w:lang w:eastAsia="zh-CN"/>
              </w:rPr>
              <w:t>m³/d（</w:t>
            </w:r>
            <w:r>
              <w:rPr>
                <w:rFonts w:hint="eastAsia" w:ascii="Times New Roman" w:hAnsi="Times New Roman" w:cs="Times New Roman"/>
                <w:color w:val="auto"/>
                <w:sz w:val="21"/>
                <w:szCs w:val="21"/>
                <w:highlight w:val="none"/>
                <w:lang w:val="en-US" w:eastAsia="zh-CN"/>
              </w:rPr>
              <w:t>50</w:t>
            </w:r>
            <w:r>
              <w:rPr>
                <w:rFonts w:ascii="Times New Roman" w:hAnsi="Times New Roman" w:cs="Times New Roman"/>
                <w:color w:val="auto"/>
                <w:sz w:val="21"/>
                <w:szCs w:val="21"/>
                <w:highlight w:val="none"/>
                <w:lang w:eastAsia="zh-CN"/>
              </w:rPr>
              <w:t>m³/a）。生活污水</w:t>
            </w:r>
            <w:r>
              <w:rPr>
                <w:rFonts w:hint="eastAsia" w:ascii="Times New Roman" w:hAnsi="Times New Roman" w:cs="Times New Roman"/>
                <w:color w:val="auto"/>
                <w:sz w:val="21"/>
                <w:szCs w:val="21"/>
                <w:highlight w:val="none"/>
                <w:lang w:eastAsia="zh-CN"/>
              </w:rPr>
              <w:t>主要是工作人员的盥洗、冲厕用水，</w:t>
            </w:r>
            <w:r>
              <w:rPr>
                <w:rFonts w:ascii="Times New Roman" w:hAnsi="Times New Roman" w:cs="Times New Roman"/>
                <w:color w:val="auto"/>
                <w:sz w:val="21"/>
                <w:szCs w:val="21"/>
                <w:highlight w:val="none"/>
                <w:lang w:eastAsia="zh-CN"/>
              </w:rPr>
              <w:t>主要污染物成分为：BOD</w:t>
            </w:r>
            <w:r>
              <w:rPr>
                <w:rFonts w:ascii="Times New Roman" w:hAnsi="Times New Roman" w:cs="Times New Roman"/>
                <w:color w:val="auto"/>
                <w:sz w:val="21"/>
                <w:szCs w:val="21"/>
                <w:highlight w:val="none"/>
                <w:vertAlign w:val="subscript"/>
                <w:lang w:eastAsia="zh-CN"/>
              </w:rPr>
              <w:t>5</w:t>
            </w:r>
            <w:r>
              <w:rPr>
                <w:rFonts w:ascii="Times New Roman" w:hAnsi="Times New Roman" w:cs="Times New Roman"/>
                <w:color w:val="auto"/>
                <w:sz w:val="21"/>
                <w:szCs w:val="21"/>
                <w:highlight w:val="none"/>
                <w:lang w:eastAsia="zh-CN"/>
              </w:rPr>
              <w:t>、COD、SS、NH</w:t>
            </w:r>
            <w:r>
              <w:rPr>
                <w:rFonts w:ascii="Times New Roman" w:hAnsi="Times New Roman" w:cs="Times New Roman"/>
                <w:color w:val="auto"/>
                <w:sz w:val="21"/>
                <w:szCs w:val="21"/>
                <w:highlight w:val="none"/>
                <w:vertAlign w:val="subscript"/>
                <w:lang w:eastAsia="zh-CN"/>
              </w:rPr>
              <w:t>3</w:t>
            </w:r>
            <w:r>
              <w:rPr>
                <w:rFonts w:ascii="Times New Roman" w:hAnsi="Times New Roman" w:cs="Times New Roman"/>
                <w:color w:val="auto"/>
                <w:sz w:val="21"/>
                <w:szCs w:val="21"/>
                <w:highlight w:val="none"/>
                <w:lang w:eastAsia="zh-CN"/>
              </w:rPr>
              <w:t>-N等</w:t>
            </w:r>
            <w:r>
              <w:rPr>
                <w:rFonts w:hint="eastAsia" w:ascii="Times New Roman" w:hAnsi="Times New Roman" w:cs="Times New Roman"/>
                <w:color w:val="auto"/>
                <w:sz w:val="21"/>
                <w:szCs w:val="21"/>
                <w:highlight w:val="none"/>
                <w:lang w:eastAsia="zh-CN"/>
              </w:rPr>
              <w:t>。生活用水依托项目区东侧砖厂已有防渗化粪池收集，化粪池定期清掏拉。</w:t>
            </w:r>
            <w:r>
              <w:rPr>
                <w:rFonts w:ascii="Times New Roman" w:hAnsi="Times New Roman" w:cs="Times New Roman"/>
                <w:color w:val="auto"/>
                <w:sz w:val="21"/>
                <w:szCs w:val="21"/>
                <w:highlight w:val="none"/>
                <w:lang w:eastAsia="zh-CN"/>
              </w:rPr>
              <w:t>生活污水排放执行《污水综合排放标准》（GB 8978-1996）的三级标准。项目生活污水排放情况见表</w:t>
            </w:r>
            <w:r>
              <w:rPr>
                <w:rFonts w:hint="eastAsia" w:ascii="Times New Roman" w:hAnsi="Times New Roman" w:cs="Times New Roman"/>
                <w:color w:val="auto"/>
                <w:sz w:val="21"/>
                <w:szCs w:val="21"/>
                <w:highlight w:val="none"/>
                <w:lang w:val="en-US" w:eastAsia="zh-CN"/>
              </w:rPr>
              <w:t>4-6</w:t>
            </w:r>
            <w:r>
              <w:rPr>
                <w:rFonts w:ascii="Times New Roman" w:hAnsi="Times New Roman" w:cs="Times New Roman"/>
                <w:color w:val="auto"/>
                <w:sz w:val="21"/>
                <w:szCs w:val="21"/>
                <w:highlight w:val="none"/>
                <w:lang w:eastAsia="zh-CN"/>
              </w:rPr>
              <w:t>。</w:t>
            </w:r>
          </w:p>
          <w:p>
            <w:pPr>
              <w:pStyle w:val="18"/>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b/>
                <w:bCs/>
                <w:color w:val="auto"/>
                <w:sz w:val="21"/>
                <w:szCs w:val="21"/>
                <w:highlight w:val="none"/>
                <w:lang w:eastAsia="zh-CN"/>
              </w:rPr>
              <w:t>表</w:t>
            </w:r>
            <w:r>
              <w:rPr>
                <w:rFonts w:hint="eastAsia" w:ascii="Times New Roman" w:hAnsi="Times New Roman" w:cs="Times New Roman" w:eastAsiaTheme="minorEastAsia"/>
                <w:b/>
                <w:bCs/>
                <w:color w:val="auto"/>
                <w:sz w:val="21"/>
                <w:szCs w:val="21"/>
                <w:highlight w:val="none"/>
                <w:lang w:val="en-US" w:eastAsia="zh-CN"/>
              </w:rPr>
              <w:t>4-6</w:t>
            </w:r>
            <w:r>
              <w:rPr>
                <w:rFonts w:ascii="Times New Roman" w:hAnsi="Times New Roman" w:cs="Times New Roman" w:eastAsiaTheme="minorEastAsia"/>
                <w:b/>
                <w:bCs/>
                <w:color w:val="auto"/>
                <w:sz w:val="21"/>
                <w:szCs w:val="21"/>
                <w:highlight w:val="none"/>
                <w:lang w:eastAsia="zh-CN"/>
              </w:rPr>
              <w:t xml:space="preserve">    </w:t>
            </w:r>
            <w:r>
              <w:rPr>
                <w:rFonts w:hint="eastAsia" w:ascii="Times New Roman" w:hAnsi="Times New Roman" w:cs="Times New Roman" w:eastAsiaTheme="minorEastAsia"/>
                <w:b/>
                <w:bCs/>
                <w:color w:val="auto"/>
                <w:sz w:val="21"/>
                <w:szCs w:val="21"/>
                <w:highlight w:val="none"/>
                <w:lang w:eastAsia="zh-CN"/>
              </w:rPr>
              <w:t>项目生活污水排放情况表</w:t>
            </w:r>
          </w:p>
          <w:tbl>
            <w:tblPr>
              <w:tblStyle w:val="15"/>
              <w:tblW w:w="84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156"/>
              <w:gridCol w:w="1297"/>
              <w:gridCol w:w="1152"/>
              <w:gridCol w:w="1297"/>
              <w:gridCol w:w="1299"/>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Align w:val="center"/>
                </w:tcPr>
                <w:p>
                  <w:pPr>
                    <w:jc w:val="center"/>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szCs w:val="21"/>
                      <w:highlight w:val="none"/>
                    </w:rPr>
                    <w:t>来源</w:t>
                  </w:r>
                </w:p>
              </w:tc>
              <w:tc>
                <w:tcPr>
                  <w:tcW w:w="1156" w:type="dxa"/>
                  <w:vAlign w:val="center"/>
                </w:tcPr>
                <w:p>
                  <w:pPr>
                    <w:jc w:val="center"/>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szCs w:val="21"/>
                      <w:highlight w:val="none"/>
                    </w:rPr>
                    <w:t>污染物</w:t>
                  </w:r>
                </w:p>
              </w:tc>
              <w:tc>
                <w:tcPr>
                  <w:tcW w:w="1297" w:type="dxa"/>
                  <w:vAlign w:val="center"/>
                </w:tcPr>
                <w:p>
                  <w:pPr>
                    <w:jc w:val="center"/>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szCs w:val="21"/>
                      <w:highlight w:val="none"/>
                    </w:rPr>
                    <w:t>产生浓度</w:t>
                  </w:r>
                </w:p>
                <w:p>
                  <w:pPr>
                    <w:jc w:val="center"/>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szCs w:val="21"/>
                      <w:highlight w:val="none"/>
                    </w:rPr>
                    <w:t>mg/L</w:t>
                  </w:r>
                </w:p>
              </w:tc>
              <w:tc>
                <w:tcPr>
                  <w:tcW w:w="1152" w:type="dxa"/>
                  <w:vAlign w:val="center"/>
                </w:tcPr>
                <w:p>
                  <w:pPr>
                    <w:jc w:val="center"/>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szCs w:val="21"/>
                      <w:highlight w:val="none"/>
                    </w:rPr>
                    <w:t>产生量t/a</w:t>
                  </w:r>
                </w:p>
              </w:tc>
              <w:tc>
                <w:tcPr>
                  <w:tcW w:w="1297" w:type="dxa"/>
                  <w:vAlign w:val="center"/>
                </w:tcPr>
                <w:p>
                  <w:pPr>
                    <w:jc w:val="center"/>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szCs w:val="21"/>
                      <w:highlight w:val="none"/>
                    </w:rPr>
                    <w:t>措施</w:t>
                  </w:r>
                </w:p>
              </w:tc>
              <w:tc>
                <w:tcPr>
                  <w:tcW w:w="1299" w:type="dxa"/>
                  <w:vAlign w:val="center"/>
                </w:tcPr>
                <w:p>
                  <w:pPr>
                    <w:jc w:val="center"/>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szCs w:val="21"/>
                      <w:highlight w:val="none"/>
                    </w:rPr>
                    <w:t>排放浓度</w:t>
                  </w:r>
                </w:p>
                <w:p>
                  <w:pPr>
                    <w:jc w:val="center"/>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szCs w:val="21"/>
                      <w:highlight w:val="none"/>
                    </w:rPr>
                    <w:t>mg/L</w:t>
                  </w:r>
                </w:p>
              </w:tc>
              <w:tc>
                <w:tcPr>
                  <w:tcW w:w="1107" w:type="dxa"/>
                  <w:vAlign w:val="center"/>
                </w:tcPr>
                <w:p>
                  <w:pPr>
                    <w:jc w:val="center"/>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szCs w:val="21"/>
                      <w:highlight w:val="none"/>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Merge w:val="restart"/>
                  <w:vAlign w:val="center"/>
                </w:tcPr>
                <w:p>
                  <w:pPr>
                    <w:jc w:val="center"/>
                    <w:rPr>
                      <w:rFonts w:ascii="Times New Roman" w:hAnsi="Times New Roman" w:cs="Times New Roman" w:eastAsiaTheme="minorEastAsia"/>
                      <w:color w:val="auto"/>
                      <w:sz w:val="21"/>
                      <w:szCs w:val="21"/>
                      <w:highlight w:val="none"/>
                    </w:rPr>
                  </w:pPr>
                  <w:r>
                    <w:rPr>
                      <w:rFonts w:hint="eastAsia" w:ascii="Times New Roman" w:hAnsi="Times New Roman" w:cs="Times New Roman" w:eastAsiaTheme="minorEastAsia"/>
                      <w:color w:val="auto"/>
                      <w:sz w:val="21"/>
                      <w:szCs w:val="21"/>
                      <w:highlight w:val="none"/>
                      <w:lang w:eastAsia="zh-CN"/>
                    </w:rPr>
                    <w:t>工作人员</w:t>
                  </w:r>
                  <w:r>
                    <w:rPr>
                      <w:rFonts w:hint="eastAsia" w:ascii="Times New Roman" w:hAnsi="Times New Roman" w:cs="Times New Roman" w:eastAsiaTheme="minorEastAsia"/>
                      <w:color w:val="auto"/>
                      <w:sz w:val="21"/>
                      <w:szCs w:val="21"/>
                      <w:highlight w:val="none"/>
                      <w:lang w:val="en-US" w:eastAsia="zh-CN"/>
                    </w:rPr>
                    <w:t>50</w:t>
                  </w:r>
                  <w:r>
                    <w:rPr>
                      <w:rFonts w:ascii="Times New Roman" w:hAnsi="Times New Roman" w:cs="Times New Roman" w:eastAsiaTheme="minorEastAsia"/>
                      <w:color w:val="auto"/>
                      <w:sz w:val="21"/>
                      <w:szCs w:val="21"/>
                      <w:highlight w:val="none"/>
                      <w:lang w:eastAsia="zh-CN"/>
                    </w:rPr>
                    <w:t>m</w:t>
                  </w:r>
                  <w:r>
                    <w:rPr>
                      <w:rFonts w:ascii="Times New Roman" w:hAnsi="Times New Roman" w:cs="Times New Roman" w:eastAsiaTheme="minorEastAsia"/>
                      <w:color w:val="auto"/>
                      <w:sz w:val="21"/>
                      <w:szCs w:val="21"/>
                      <w:highlight w:val="none"/>
                      <w:vertAlign w:val="superscript"/>
                      <w:lang w:eastAsia="zh-CN"/>
                    </w:rPr>
                    <w:t>3</w:t>
                  </w:r>
                  <w:r>
                    <w:rPr>
                      <w:rFonts w:ascii="Times New Roman" w:hAnsi="Times New Roman" w:cs="Times New Roman" w:eastAsiaTheme="minorEastAsia"/>
                      <w:color w:val="auto"/>
                      <w:sz w:val="21"/>
                      <w:szCs w:val="21"/>
                      <w:highlight w:val="none"/>
                      <w:lang w:eastAsia="zh-CN"/>
                    </w:rPr>
                    <w:t>/a</w:t>
                  </w:r>
                </w:p>
              </w:tc>
              <w:tc>
                <w:tcPr>
                  <w:tcW w:w="1156"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BOD</w:t>
                  </w:r>
                  <w:r>
                    <w:rPr>
                      <w:rFonts w:ascii="Times New Roman" w:hAnsi="Times New Roman" w:cs="Times New Roman" w:eastAsiaTheme="minorEastAsia"/>
                      <w:color w:val="auto"/>
                      <w:sz w:val="21"/>
                      <w:szCs w:val="21"/>
                      <w:highlight w:val="none"/>
                      <w:vertAlign w:val="subscript"/>
                    </w:rPr>
                    <w:t>5</w:t>
                  </w:r>
                </w:p>
              </w:tc>
              <w:tc>
                <w:tcPr>
                  <w:tcW w:w="1297"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300</w:t>
                  </w:r>
                </w:p>
              </w:tc>
              <w:tc>
                <w:tcPr>
                  <w:tcW w:w="1152" w:type="dxa"/>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eastAsiaTheme="minorEastAsia"/>
                      <w:color w:val="auto"/>
                      <w:sz w:val="21"/>
                      <w:szCs w:val="21"/>
                      <w:highlight w:val="none"/>
                      <w:lang w:eastAsia="zh-CN"/>
                    </w:rPr>
                    <w:t>0</w:t>
                  </w:r>
                  <w:r>
                    <w:rPr>
                      <w:rFonts w:ascii="Times New Roman" w:hAnsi="Times New Roman" w:cs="Times New Roman" w:eastAsiaTheme="minorEastAsia"/>
                      <w:color w:val="auto"/>
                      <w:sz w:val="21"/>
                      <w:szCs w:val="21"/>
                      <w:highlight w:val="none"/>
                      <w:lang w:eastAsia="zh-CN"/>
                    </w:rPr>
                    <w:t>.0</w:t>
                  </w:r>
                  <w:r>
                    <w:rPr>
                      <w:rFonts w:hint="eastAsia" w:ascii="Times New Roman" w:hAnsi="Times New Roman" w:cs="Times New Roman" w:eastAsiaTheme="minorEastAsia"/>
                      <w:color w:val="auto"/>
                      <w:sz w:val="21"/>
                      <w:szCs w:val="21"/>
                      <w:highlight w:val="none"/>
                      <w:lang w:val="en-US" w:eastAsia="zh-CN"/>
                    </w:rPr>
                    <w:t>15</w:t>
                  </w:r>
                </w:p>
              </w:tc>
              <w:tc>
                <w:tcPr>
                  <w:tcW w:w="1297" w:type="dxa"/>
                  <w:vMerge w:val="restart"/>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防渗</w:t>
                  </w:r>
                  <w:r>
                    <w:rPr>
                      <w:rFonts w:ascii="Times New Roman" w:hAnsi="Times New Roman" w:cs="Times New Roman" w:eastAsiaTheme="minorEastAsia"/>
                      <w:color w:val="auto"/>
                      <w:sz w:val="21"/>
                      <w:szCs w:val="21"/>
                      <w:highlight w:val="none"/>
                      <w:lang w:eastAsia="zh-CN"/>
                    </w:rPr>
                    <w:t>化粪池</w:t>
                  </w:r>
                </w:p>
              </w:tc>
              <w:tc>
                <w:tcPr>
                  <w:tcW w:w="1299"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300</w:t>
                  </w:r>
                </w:p>
              </w:tc>
              <w:tc>
                <w:tcPr>
                  <w:tcW w:w="1107" w:type="dxa"/>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eastAsiaTheme="minorEastAsia"/>
                      <w:color w:val="auto"/>
                      <w:sz w:val="21"/>
                      <w:szCs w:val="21"/>
                      <w:highlight w:val="none"/>
                      <w:lang w:eastAsia="zh-CN"/>
                    </w:rPr>
                    <w:t>0</w:t>
                  </w:r>
                  <w:r>
                    <w:rPr>
                      <w:rFonts w:ascii="Times New Roman" w:hAnsi="Times New Roman" w:cs="Times New Roman" w:eastAsiaTheme="minorEastAsia"/>
                      <w:color w:val="auto"/>
                      <w:sz w:val="21"/>
                      <w:szCs w:val="21"/>
                      <w:highlight w:val="none"/>
                      <w:lang w:eastAsia="zh-CN"/>
                    </w:rPr>
                    <w:t>.0</w:t>
                  </w:r>
                  <w:r>
                    <w:rPr>
                      <w:rFonts w:hint="eastAsia" w:ascii="Times New Roman" w:hAnsi="Times New Roman" w:cs="Times New Roman" w:eastAsiaTheme="minorEastAsia"/>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Merge w:val="continue"/>
                  <w:vAlign w:val="center"/>
                </w:tcPr>
                <w:p>
                  <w:pPr>
                    <w:jc w:val="center"/>
                    <w:rPr>
                      <w:rFonts w:ascii="Times New Roman" w:hAnsi="Times New Roman" w:cs="Times New Roman" w:eastAsiaTheme="minorEastAsia"/>
                      <w:color w:val="auto"/>
                      <w:sz w:val="21"/>
                      <w:szCs w:val="21"/>
                      <w:highlight w:val="none"/>
                    </w:rPr>
                  </w:pPr>
                </w:p>
              </w:tc>
              <w:tc>
                <w:tcPr>
                  <w:tcW w:w="1156"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COD</w:t>
                  </w:r>
                </w:p>
              </w:tc>
              <w:tc>
                <w:tcPr>
                  <w:tcW w:w="1297"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140</w:t>
                  </w:r>
                </w:p>
              </w:tc>
              <w:tc>
                <w:tcPr>
                  <w:tcW w:w="1152" w:type="dxa"/>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eastAsiaTheme="minorEastAsia"/>
                      <w:color w:val="auto"/>
                      <w:sz w:val="21"/>
                      <w:szCs w:val="21"/>
                      <w:highlight w:val="none"/>
                      <w:lang w:eastAsia="zh-CN"/>
                    </w:rPr>
                    <w:t>0</w:t>
                  </w:r>
                  <w:r>
                    <w:rPr>
                      <w:rFonts w:ascii="Times New Roman" w:hAnsi="Times New Roman" w:cs="Times New Roman" w:eastAsiaTheme="minorEastAsia"/>
                      <w:color w:val="auto"/>
                      <w:sz w:val="21"/>
                      <w:szCs w:val="21"/>
                      <w:highlight w:val="none"/>
                      <w:lang w:eastAsia="zh-CN"/>
                    </w:rPr>
                    <w:t>.0</w:t>
                  </w:r>
                  <w:r>
                    <w:rPr>
                      <w:rFonts w:hint="eastAsia" w:ascii="Times New Roman" w:hAnsi="Times New Roman" w:cs="Times New Roman" w:eastAsiaTheme="minorEastAsia"/>
                      <w:color w:val="auto"/>
                      <w:sz w:val="21"/>
                      <w:szCs w:val="21"/>
                      <w:highlight w:val="none"/>
                      <w:lang w:val="en-US" w:eastAsia="zh-CN"/>
                    </w:rPr>
                    <w:t>07</w:t>
                  </w:r>
                </w:p>
              </w:tc>
              <w:tc>
                <w:tcPr>
                  <w:tcW w:w="1297" w:type="dxa"/>
                  <w:vMerge w:val="continue"/>
                  <w:vAlign w:val="center"/>
                </w:tcPr>
                <w:p>
                  <w:pPr>
                    <w:jc w:val="center"/>
                    <w:rPr>
                      <w:rFonts w:ascii="Times New Roman" w:hAnsi="Times New Roman" w:cs="Times New Roman" w:eastAsiaTheme="minorEastAsia"/>
                      <w:color w:val="auto"/>
                      <w:sz w:val="21"/>
                      <w:szCs w:val="21"/>
                      <w:highlight w:val="none"/>
                    </w:rPr>
                  </w:pPr>
                </w:p>
              </w:tc>
              <w:tc>
                <w:tcPr>
                  <w:tcW w:w="1299"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140</w:t>
                  </w:r>
                </w:p>
              </w:tc>
              <w:tc>
                <w:tcPr>
                  <w:tcW w:w="1107" w:type="dxa"/>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eastAsiaTheme="minorEastAsia"/>
                      <w:color w:val="auto"/>
                      <w:sz w:val="21"/>
                      <w:szCs w:val="21"/>
                      <w:highlight w:val="none"/>
                      <w:lang w:eastAsia="zh-CN"/>
                    </w:rPr>
                    <w:t>0</w:t>
                  </w:r>
                  <w:r>
                    <w:rPr>
                      <w:rFonts w:ascii="Times New Roman" w:hAnsi="Times New Roman" w:cs="Times New Roman" w:eastAsiaTheme="minorEastAsia"/>
                      <w:color w:val="auto"/>
                      <w:sz w:val="21"/>
                      <w:szCs w:val="21"/>
                      <w:highlight w:val="none"/>
                      <w:lang w:eastAsia="zh-CN"/>
                    </w:rPr>
                    <w:t>.0</w:t>
                  </w:r>
                  <w:r>
                    <w:rPr>
                      <w:rFonts w:hint="eastAsia" w:ascii="Times New Roman" w:hAnsi="Times New Roman" w:cs="Times New Roman" w:eastAsiaTheme="minorEastAsia"/>
                      <w:color w:val="auto"/>
                      <w:sz w:val="21"/>
                      <w:szCs w:val="21"/>
                      <w:highlight w:val="no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Merge w:val="continue"/>
                  <w:vAlign w:val="center"/>
                </w:tcPr>
                <w:p>
                  <w:pPr>
                    <w:jc w:val="center"/>
                    <w:rPr>
                      <w:rFonts w:ascii="Times New Roman" w:hAnsi="Times New Roman" w:cs="Times New Roman" w:eastAsiaTheme="minorEastAsia"/>
                      <w:color w:val="auto"/>
                      <w:sz w:val="21"/>
                      <w:szCs w:val="21"/>
                      <w:highlight w:val="none"/>
                    </w:rPr>
                  </w:pPr>
                </w:p>
              </w:tc>
              <w:tc>
                <w:tcPr>
                  <w:tcW w:w="1156"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SS</w:t>
                  </w:r>
                </w:p>
              </w:tc>
              <w:tc>
                <w:tcPr>
                  <w:tcW w:w="1297"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200</w:t>
                  </w:r>
                </w:p>
              </w:tc>
              <w:tc>
                <w:tcPr>
                  <w:tcW w:w="1152"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0</w:t>
                  </w:r>
                  <w:r>
                    <w:rPr>
                      <w:rFonts w:ascii="Times New Roman" w:hAnsi="Times New Roman" w:cs="Times New Roman" w:eastAsiaTheme="minorEastAsia"/>
                      <w:color w:val="auto"/>
                      <w:sz w:val="21"/>
                      <w:szCs w:val="21"/>
                      <w:highlight w:val="none"/>
                      <w:lang w:eastAsia="zh-CN"/>
                    </w:rPr>
                    <w:t>.0</w:t>
                  </w:r>
                  <w:r>
                    <w:rPr>
                      <w:rFonts w:hint="eastAsia" w:ascii="Times New Roman" w:hAnsi="Times New Roman" w:cs="Times New Roman" w:eastAsiaTheme="minorEastAsia"/>
                      <w:color w:val="auto"/>
                      <w:sz w:val="21"/>
                      <w:szCs w:val="21"/>
                      <w:highlight w:val="none"/>
                      <w:lang w:val="en-US" w:eastAsia="zh-CN"/>
                    </w:rPr>
                    <w:t>1</w:t>
                  </w:r>
                </w:p>
              </w:tc>
              <w:tc>
                <w:tcPr>
                  <w:tcW w:w="1297" w:type="dxa"/>
                  <w:vMerge w:val="continue"/>
                  <w:vAlign w:val="center"/>
                </w:tcPr>
                <w:p>
                  <w:pPr>
                    <w:jc w:val="center"/>
                    <w:rPr>
                      <w:rFonts w:ascii="Times New Roman" w:hAnsi="Times New Roman" w:cs="Times New Roman" w:eastAsiaTheme="minorEastAsia"/>
                      <w:color w:val="auto"/>
                      <w:sz w:val="21"/>
                      <w:szCs w:val="21"/>
                      <w:highlight w:val="none"/>
                    </w:rPr>
                  </w:pPr>
                </w:p>
              </w:tc>
              <w:tc>
                <w:tcPr>
                  <w:tcW w:w="1299"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100</w:t>
                  </w:r>
                </w:p>
              </w:tc>
              <w:tc>
                <w:tcPr>
                  <w:tcW w:w="1107"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0</w:t>
                  </w:r>
                  <w:r>
                    <w:rPr>
                      <w:rFonts w:ascii="Times New Roman" w:hAnsi="Times New Roman" w:cs="Times New Roman" w:eastAsiaTheme="minorEastAsia"/>
                      <w:color w:val="auto"/>
                      <w:sz w:val="21"/>
                      <w:szCs w:val="21"/>
                      <w:highlight w:val="none"/>
                      <w:lang w:eastAsia="zh-CN"/>
                    </w:rPr>
                    <w:t>.0</w:t>
                  </w:r>
                  <w:r>
                    <w:rPr>
                      <w:rFonts w:hint="eastAsia" w:ascii="Times New Roman" w:hAnsi="Times New Roman" w:cs="Times New Roman" w:eastAsiaTheme="minorEastAsia"/>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Merge w:val="continue"/>
                  <w:vAlign w:val="center"/>
                </w:tcPr>
                <w:p>
                  <w:pPr>
                    <w:jc w:val="center"/>
                    <w:rPr>
                      <w:rFonts w:ascii="Times New Roman" w:hAnsi="Times New Roman" w:cs="Times New Roman" w:eastAsiaTheme="minorEastAsia"/>
                      <w:color w:val="auto"/>
                      <w:sz w:val="21"/>
                      <w:szCs w:val="21"/>
                      <w:highlight w:val="none"/>
                    </w:rPr>
                  </w:pPr>
                </w:p>
              </w:tc>
              <w:tc>
                <w:tcPr>
                  <w:tcW w:w="1156"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NH</w:t>
                  </w:r>
                  <w:r>
                    <w:rPr>
                      <w:rFonts w:ascii="Times New Roman" w:hAnsi="Times New Roman" w:cs="Times New Roman" w:eastAsiaTheme="minorEastAsia"/>
                      <w:color w:val="auto"/>
                      <w:sz w:val="21"/>
                      <w:szCs w:val="21"/>
                      <w:highlight w:val="none"/>
                      <w:vertAlign w:val="subscript"/>
                    </w:rPr>
                    <w:t>3</w:t>
                  </w:r>
                  <w:r>
                    <w:rPr>
                      <w:rFonts w:ascii="Times New Roman" w:hAnsi="Times New Roman" w:cs="Times New Roman" w:eastAsiaTheme="minorEastAsia"/>
                      <w:color w:val="auto"/>
                      <w:sz w:val="21"/>
                      <w:szCs w:val="21"/>
                      <w:highlight w:val="none"/>
                    </w:rPr>
                    <w:t>-N</w:t>
                  </w:r>
                </w:p>
              </w:tc>
              <w:tc>
                <w:tcPr>
                  <w:tcW w:w="1297"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25</w:t>
                  </w:r>
                </w:p>
              </w:tc>
              <w:tc>
                <w:tcPr>
                  <w:tcW w:w="1152"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0</w:t>
                  </w:r>
                  <w:r>
                    <w:rPr>
                      <w:rFonts w:ascii="Times New Roman" w:hAnsi="Times New Roman" w:cs="Times New Roman" w:eastAsiaTheme="minorEastAsia"/>
                      <w:color w:val="auto"/>
                      <w:sz w:val="21"/>
                      <w:szCs w:val="21"/>
                      <w:highlight w:val="none"/>
                      <w:lang w:eastAsia="zh-CN"/>
                    </w:rPr>
                    <w:t>.00</w:t>
                  </w:r>
                  <w:r>
                    <w:rPr>
                      <w:rFonts w:hint="eastAsia" w:ascii="Times New Roman" w:hAnsi="Times New Roman" w:cs="Times New Roman" w:eastAsiaTheme="minorEastAsia"/>
                      <w:color w:val="auto"/>
                      <w:sz w:val="21"/>
                      <w:szCs w:val="21"/>
                      <w:highlight w:val="none"/>
                      <w:lang w:val="en-US" w:eastAsia="zh-CN"/>
                    </w:rPr>
                    <w:t>1</w:t>
                  </w:r>
                </w:p>
              </w:tc>
              <w:tc>
                <w:tcPr>
                  <w:tcW w:w="1297" w:type="dxa"/>
                  <w:vMerge w:val="continue"/>
                  <w:vAlign w:val="center"/>
                </w:tcPr>
                <w:p>
                  <w:pPr>
                    <w:jc w:val="center"/>
                    <w:rPr>
                      <w:rFonts w:ascii="Times New Roman" w:hAnsi="Times New Roman" w:cs="Times New Roman" w:eastAsiaTheme="minorEastAsia"/>
                      <w:color w:val="auto"/>
                      <w:sz w:val="21"/>
                      <w:szCs w:val="21"/>
                      <w:highlight w:val="none"/>
                    </w:rPr>
                  </w:pPr>
                </w:p>
              </w:tc>
              <w:tc>
                <w:tcPr>
                  <w:tcW w:w="1299" w:type="dxa"/>
                  <w:vAlign w:val="center"/>
                </w:tcPr>
                <w:p>
                  <w:pPr>
                    <w:jc w:val="center"/>
                    <w:rPr>
                      <w:rFonts w:ascii="Times New Roman" w:hAnsi="Times New Roman" w:cs="Times New Roman" w:eastAsiaTheme="minorEastAsia"/>
                      <w:color w:val="auto"/>
                      <w:sz w:val="21"/>
                      <w:szCs w:val="21"/>
                      <w:highlight w:val="none"/>
                    </w:rPr>
                  </w:pPr>
                  <w:r>
                    <w:rPr>
                      <w:rFonts w:ascii="Times New Roman" w:hAnsi="Times New Roman" w:cs="Times New Roman" w:eastAsiaTheme="minorEastAsia"/>
                      <w:color w:val="auto"/>
                      <w:sz w:val="21"/>
                      <w:szCs w:val="21"/>
                      <w:highlight w:val="none"/>
                    </w:rPr>
                    <w:t>25</w:t>
                  </w:r>
                </w:p>
              </w:tc>
              <w:tc>
                <w:tcPr>
                  <w:tcW w:w="1107" w:type="dxa"/>
                  <w:vAlign w:val="center"/>
                </w:tcPr>
                <w:p>
                  <w:pPr>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0</w:t>
                  </w:r>
                  <w:r>
                    <w:rPr>
                      <w:rFonts w:ascii="Times New Roman" w:hAnsi="Times New Roman" w:cs="Times New Roman" w:eastAsiaTheme="minorEastAsia"/>
                      <w:color w:val="auto"/>
                      <w:sz w:val="21"/>
                      <w:szCs w:val="21"/>
                      <w:highlight w:val="none"/>
                      <w:lang w:eastAsia="zh-CN"/>
                    </w:rPr>
                    <w:t>.00</w:t>
                  </w:r>
                  <w:r>
                    <w:rPr>
                      <w:rFonts w:hint="eastAsia" w:ascii="Times New Roman" w:hAnsi="Times New Roman" w:cs="Times New Roman" w:eastAsiaTheme="minorEastAsia"/>
                      <w:color w:val="auto"/>
                      <w:sz w:val="21"/>
                      <w:szCs w:val="21"/>
                      <w:highlight w:val="none"/>
                      <w:lang w:val="en-US" w:eastAsia="zh-CN"/>
                    </w:rPr>
                    <w:t>1</w:t>
                  </w:r>
                </w:p>
              </w:tc>
            </w:tr>
          </w:tbl>
          <w:p>
            <w:pPr>
              <w:pStyle w:val="18"/>
              <w:spacing w:line="360" w:lineRule="auto"/>
              <w:jc w:val="both"/>
              <w:rPr>
                <w:rFonts w:ascii="Times New Roman" w:hAnsi="Times New Roman" w:cs="Times New Roman"/>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3、运营期声环境影响分析</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运营期的噪声源主要为：挖掘机、铲车、自卸载重汽车、洒水车、雾炮机，粘土矿开采主要是在白天进行，夜间不开采。开采过程中交替使用不同机械设备，并随开采位置变化而移动。导致了噪声随机、无组织、间歇性排放。项目噪声源强见表</w:t>
            </w:r>
            <w:r>
              <w:rPr>
                <w:rFonts w:hint="eastAsia" w:ascii="Times New Roman" w:hAnsi="Times New Roman" w:cs="Times New Roman"/>
                <w:color w:val="auto"/>
                <w:sz w:val="21"/>
                <w:szCs w:val="21"/>
                <w:highlight w:val="none"/>
                <w:lang w:val="en-US" w:eastAsia="zh-CN"/>
              </w:rPr>
              <w:t>4-7</w:t>
            </w:r>
            <w:r>
              <w:rPr>
                <w:rFonts w:ascii="Times New Roman" w:hAnsi="Times New Roman" w:cs="Times New Roman"/>
                <w:color w:val="auto"/>
                <w:sz w:val="21"/>
                <w:szCs w:val="21"/>
                <w:highlight w:val="none"/>
                <w:lang w:eastAsia="zh-CN"/>
              </w:rPr>
              <w:t>。</w:t>
            </w:r>
          </w:p>
          <w:p>
            <w:pPr>
              <w:pStyle w:val="18"/>
              <w:jc w:val="center"/>
              <w:rPr>
                <w:rFonts w:ascii="Times New Roman" w:hAnsi="Times New Roman" w:cs="Times New Roman"/>
                <w:color w:val="auto"/>
                <w:sz w:val="21"/>
                <w:szCs w:val="21"/>
                <w:highlight w:val="none"/>
                <w:lang w:eastAsia="zh-CN"/>
              </w:rPr>
            </w:pPr>
            <w:r>
              <w:rPr>
                <w:rFonts w:hint="eastAsia" w:ascii="Times New Roman" w:hAnsi="Times New Roman" w:cs="Times New Roman" w:eastAsiaTheme="minorEastAsia"/>
                <w:b/>
                <w:bCs/>
                <w:color w:val="auto"/>
                <w:sz w:val="21"/>
                <w:szCs w:val="21"/>
                <w:highlight w:val="none"/>
                <w:lang w:eastAsia="zh-CN"/>
              </w:rPr>
              <w:t>表</w:t>
            </w:r>
            <w:r>
              <w:rPr>
                <w:rFonts w:hint="eastAsia" w:ascii="Times New Roman" w:hAnsi="Times New Roman" w:cs="Times New Roman" w:eastAsiaTheme="minorEastAsia"/>
                <w:b/>
                <w:bCs/>
                <w:color w:val="auto"/>
                <w:sz w:val="21"/>
                <w:szCs w:val="21"/>
                <w:highlight w:val="none"/>
                <w:lang w:val="en-US" w:eastAsia="zh-CN"/>
              </w:rPr>
              <w:t>4-7</w:t>
            </w:r>
            <w:r>
              <w:rPr>
                <w:rFonts w:ascii="Times New Roman" w:hAnsi="Times New Roman" w:cs="Times New Roman" w:eastAsiaTheme="minorEastAsia"/>
                <w:b/>
                <w:bCs/>
                <w:color w:val="auto"/>
                <w:sz w:val="21"/>
                <w:szCs w:val="21"/>
                <w:highlight w:val="none"/>
                <w:lang w:eastAsia="zh-CN"/>
              </w:rPr>
              <w:t xml:space="preserve">   </w:t>
            </w:r>
            <w:r>
              <w:rPr>
                <w:rFonts w:hint="eastAsia" w:ascii="Times New Roman" w:hAnsi="Times New Roman" w:cs="Times New Roman" w:eastAsiaTheme="minorEastAsia"/>
                <w:b/>
                <w:bCs/>
                <w:color w:val="auto"/>
                <w:sz w:val="21"/>
                <w:szCs w:val="21"/>
                <w:highlight w:val="none"/>
                <w:lang w:eastAsia="zh-CN"/>
              </w:rPr>
              <w:t>项目噪声源强一览表</w:t>
            </w:r>
            <w:r>
              <w:rPr>
                <w:rFonts w:ascii="Times New Roman" w:hAnsi="Times New Roman" w:cs="Times New Roman" w:eastAsiaTheme="minorEastAsia"/>
                <w:b/>
                <w:bCs/>
                <w:color w:val="auto"/>
                <w:sz w:val="21"/>
                <w:szCs w:val="21"/>
                <w:highlight w:val="none"/>
                <w:lang w:eastAsia="zh-CN"/>
              </w:rPr>
              <w:t xml:space="preserve">        </w:t>
            </w:r>
            <w:r>
              <w:rPr>
                <w:rFonts w:hint="eastAsia" w:ascii="Times New Roman" w:hAnsi="Times New Roman" w:cs="Times New Roman" w:eastAsiaTheme="minorEastAsia"/>
                <w:b/>
                <w:bCs/>
                <w:color w:val="auto"/>
                <w:sz w:val="21"/>
                <w:szCs w:val="21"/>
                <w:highlight w:val="none"/>
                <w:lang w:eastAsia="zh-CN"/>
              </w:rPr>
              <w:t>单位：d</w:t>
            </w:r>
            <w:r>
              <w:rPr>
                <w:rFonts w:ascii="Times New Roman" w:hAnsi="Times New Roman" w:cs="Times New Roman" w:eastAsiaTheme="minorEastAsia"/>
                <w:b/>
                <w:bCs/>
                <w:color w:val="auto"/>
                <w:sz w:val="21"/>
                <w:szCs w:val="21"/>
                <w:highlight w:val="none"/>
                <w:lang w:eastAsia="zh-CN"/>
              </w:rPr>
              <w:t>B</w:t>
            </w:r>
            <w:r>
              <w:rPr>
                <w:rFonts w:hint="eastAsia" w:ascii="Times New Roman" w:hAnsi="Times New Roman" w:cs="Times New Roman" w:eastAsiaTheme="minorEastAsia"/>
                <w:b/>
                <w:bCs/>
                <w:color w:val="auto"/>
                <w:sz w:val="21"/>
                <w:szCs w:val="21"/>
                <w:highlight w:val="none"/>
                <w:lang w:eastAsia="zh-CN"/>
              </w:rPr>
              <w:t>（A）</w:t>
            </w:r>
          </w:p>
          <w:tbl>
            <w:tblPr>
              <w:tblStyle w:val="15"/>
              <w:tblW w:w="85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749"/>
              <w:gridCol w:w="3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序    号</w:t>
                  </w:r>
                </w:p>
              </w:tc>
              <w:tc>
                <w:tcPr>
                  <w:tcW w:w="3749" w:type="dxa"/>
                </w:tcPr>
                <w:p>
                  <w:pPr>
                    <w:autoSpaceDE/>
                    <w:autoSpaceDN/>
                    <w:jc w:val="center"/>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机械设备名称</w:t>
                  </w:r>
                </w:p>
              </w:tc>
              <w:tc>
                <w:tcPr>
                  <w:tcW w:w="3764" w:type="dxa"/>
                </w:tcPr>
                <w:p>
                  <w:pPr>
                    <w:autoSpaceDE/>
                    <w:autoSpaceDN/>
                    <w:jc w:val="center"/>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噪声值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1</w:t>
                  </w:r>
                </w:p>
              </w:tc>
              <w:tc>
                <w:tcPr>
                  <w:tcW w:w="3749"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挖掘机</w:t>
                  </w:r>
                </w:p>
              </w:tc>
              <w:tc>
                <w:tcPr>
                  <w:tcW w:w="3764"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9</w:t>
                  </w:r>
                  <w:r>
                    <w:rPr>
                      <w:rFonts w:ascii="Times New Roman" w:hAnsi="Times New Roman" w:cs="Times New Roman" w:eastAsiaTheme="minorEastAsia"/>
                      <w:color w:val="auto"/>
                      <w:sz w:val="21"/>
                      <w:szCs w:val="21"/>
                      <w:highlight w:val="none"/>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2</w:t>
                  </w:r>
                </w:p>
              </w:tc>
              <w:tc>
                <w:tcPr>
                  <w:tcW w:w="3749"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铲车</w:t>
                  </w:r>
                </w:p>
              </w:tc>
              <w:tc>
                <w:tcPr>
                  <w:tcW w:w="3764"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9</w:t>
                  </w:r>
                  <w:r>
                    <w:rPr>
                      <w:rFonts w:ascii="Times New Roman" w:hAnsi="Times New Roman" w:cs="Times New Roman" w:eastAsiaTheme="minorEastAsia"/>
                      <w:color w:val="auto"/>
                      <w:sz w:val="21"/>
                      <w:szCs w:val="21"/>
                      <w:highlight w:val="none"/>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3</w:t>
                  </w:r>
                </w:p>
              </w:tc>
              <w:tc>
                <w:tcPr>
                  <w:tcW w:w="3749"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自卸载重汽车</w:t>
                  </w:r>
                </w:p>
              </w:tc>
              <w:tc>
                <w:tcPr>
                  <w:tcW w:w="3764" w:type="dxa"/>
                </w:tcPr>
                <w:p>
                  <w:pPr>
                    <w:autoSpaceDE/>
                    <w:autoSpaceDN/>
                    <w:jc w:val="center"/>
                    <w:rPr>
                      <w:rFonts w:ascii="Times New Roman" w:hAnsi="Times New Roman" w:cs="Times New Roman" w:eastAsiaTheme="minorEastAsia"/>
                      <w:color w:val="auto"/>
                      <w:sz w:val="21"/>
                      <w:szCs w:val="21"/>
                      <w:highlight w:val="none"/>
                      <w:lang w:eastAsia="zh-CN"/>
                    </w:rPr>
                  </w:pPr>
                  <w:r>
                    <w:rPr>
                      <w:rFonts w:ascii="Times New Roman" w:hAnsi="Times New Roman" w:cs="Times New Roman" w:eastAsiaTheme="minorEastAsia"/>
                      <w:color w:val="auto"/>
                      <w:sz w:val="21"/>
                      <w:szCs w:val="21"/>
                      <w:highlight w:val="none"/>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4</w:t>
                  </w:r>
                </w:p>
              </w:tc>
              <w:tc>
                <w:tcPr>
                  <w:tcW w:w="3749"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洒水车</w:t>
                  </w:r>
                </w:p>
              </w:tc>
              <w:tc>
                <w:tcPr>
                  <w:tcW w:w="3764"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7</w:t>
                  </w:r>
                  <w:r>
                    <w:rPr>
                      <w:rFonts w:ascii="Times New Roman" w:hAnsi="Times New Roman" w:cs="Times New Roman" w:eastAsiaTheme="minorEastAsia"/>
                      <w:color w:val="auto"/>
                      <w:sz w:val="21"/>
                      <w:szCs w:val="21"/>
                      <w:highlight w:val="no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5</w:t>
                  </w:r>
                </w:p>
              </w:tc>
              <w:tc>
                <w:tcPr>
                  <w:tcW w:w="3749"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雾炮机</w:t>
                  </w:r>
                </w:p>
              </w:tc>
              <w:tc>
                <w:tcPr>
                  <w:tcW w:w="3764" w:type="dxa"/>
                </w:tcPr>
                <w:p>
                  <w:pPr>
                    <w:autoSpaceDE/>
                    <w:autoSpaceDN/>
                    <w:jc w:val="center"/>
                    <w:rPr>
                      <w:rFonts w:ascii="Times New Roman" w:hAnsi="Times New Roman" w:cs="Times New Roman" w:eastAsiaTheme="minorEastAsia"/>
                      <w:color w:val="auto"/>
                      <w:sz w:val="21"/>
                      <w:szCs w:val="21"/>
                      <w:highlight w:val="none"/>
                      <w:lang w:eastAsia="zh-CN"/>
                    </w:rPr>
                  </w:pPr>
                  <w:r>
                    <w:rPr>
                      <w:rFonts w:hint="eastAsia" w:ascii="Times New Roman" w:hAnsi="Times New Roman" w:cs="Times New Roman" w:eastAsiaTheme="minorEastAsia"/>
                      <w:color w:val="auto"/>
                      <w:sz w:val="21"/>
                      <w:szCs w:val="21"/>
                      <w:highlight w:val="none"/>
                      <w:lang w:eastAsia="zh-CN"/>
                    </w:rPr>
                    <w:t>5</w:t>
                  </w:r>
                  <w:r>
                    <w:rPr>
                      <w:rFonts w:ascii="Times New Roman" w:hAnsi="Times New Roman" w:cs="Times New Roman" w:eastAsiaTheme="minorEastAsia"/>
                      <w:color w:val="auto"/>
                      <w:sz w:val="21"/>
                      <w:szCs w:val="21"/>
                      <w:highlight w:val="none"/>
                      <w:lang w:eastAsia="zh-CN"/>
                    </w:rPr>
                    <w:t>0</w:t>
                  </w:r>
                </w:p>
              </w:tc>
            </w:tr>
          </w:tbl>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项目噪声属于点声源，随着传播距离的增加而衰减，噪声衰减值的计算公式为：</w:t>
            </w:r>
          </w:p>
          <w:p>
            <w:pPr>
              <w:pStyle w:val="18"/>
              <w:spacing w:line="360" w:lineRule="auto"/>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L</w:t>
            </w:r>
            <w:r>
              <w:rPr>
                <w:rFonts w:ascii="Times New Roman" w:hAnsi="Times New Roman" w:cs="Times New Roman"/>
                <w:color w:val="auto"/>
                <w:sz w:val="21"/>
                <w:szCs w:val="21"/>
                <w:highlight w:val="none"/>
                <w:vertAlign w:val="subscript"/>
                <w:lang w:eastAsia="zh-CN"/>
              </w:rPr>
              <w:t>A(r)</w:t>
            </w:r>
            <w:r>
              <w:rPr>
                <w:rFonts w:ascii="Times New Roman" w:hAnsi="Times New Roman" w:cs="Times New Roman"/>
                <w:color w:val="auto"/>
                <w:sz w:val="21"/>
                <w:szCs w:val="21"/>
                <w:highlight w:val="none"/>
                <w:lang w:eastAsia="zh-CN"/>
              </w:rPr>
              <w:t xml:space="preserve"> = L</w:t>
            </w:r>
            <w:r>
              <w:rPr>
                <w:rFonts w:ascii="Times New Roman" w:hAnsi="Times New Roman" w:cs="Times New Roman"/>
                <w:color w:val="auto"/>
                <w:sz w:val="21"/>
                <w:szCs w:val="21"/>
                <w:highlight w:val="none"/>
                <w:vertAlign w:val="subscript"/>
                <w:lang w:eastAsia="zh-CN"/>
              </w:rPr>
              <w:t>WA</w:t>
            </w:r>
            <w:r>
              <w:rPr>
                <w:rFonts w:ascii="Times New Roman" w:hAnsi="Times New Roman" w:cs="Times New Roman"/>
                <w:color w:val="auto"/>
                <w:sz w:val="21"/>
                <w:szCs w:val="21"/>
                <w:highlight w:val="none"/>
                <w:lang w:eastAsia="zh-CN"/>
              </w:rPr>
              <w:t>－20lg（r）－8</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式中：</w:t>
            </w:r>
            <w:r>
              <w:rPr>
                <w:rFonts w:ascii="Times New Roman" w:hAnsi="Times New Roman" w:cs="Times New Roman"/>
                <w:color w:val="auto"/>
                <w:sz w:val="21"/>
                <w:szCs w:val="21"/>
                <w:highlight w:val="none"/>
                <w:lang w:eastAsia="zh-CN"/>
              </w:rPr>
              <w:t>L</w:t>
            </w:r>
            <w:r>
              <w:rPr>
                <w:rFonts w:ascii="Times New Roman" w:hAnsi="Times New Roman" w:cs="Times New Roman"/>
                <w:color w:val="auto"/>
                <w:sz w:val="21"/>
                <w:szCs w:val="21"/>
                <w:highlight w:val="none"/>
                <w:vertAlign w:val="subscript"/>
                <w:lang w:eastAsia="zh-CN"/>
              </w:rPr>
              <w:t>A(r)</w:t>
            </w:r>
            <w:r>
              <w:rPr>
                <w:rFonts w:ascii="Times New Roman" w:hAnsi="Times New Roman" w:cs="Times New Roman"/>
                <w:color w:val="auto"/>
                <w:sz w:val="21"/>
                <w:szCs w:val="21"/>
                <w:highlight w:val="none"/>
                <w:lang w:eastAsia="zh-CN"/>
              </w:rPr>
              <w:t xml:space="preserve"> — 距噪声源r米处预测点的A声级，dB(A)；</w:t>
            </w:r>
          </w:p>
          <w:p>
            <w:pPr>
              <w:pStyle w:val="18"/>
              <w:spacing w:line="360" w:lineRule="auto"/>
              <w:ind w:firstLine="1050" w:firstLineChars="5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L</w:t>
            </w:r>
            <w:r>
              <w:rPr>
                <w:rFonts w:ascii="Times New Roman" w:hAnsi="Times New Roman" w:cs="Times New Roman"/>
                <w:color w:val="auto"/>
                <w:sz w:val="21"/>
                <w:szCs w:val="21"/>
                <w:highlight w:val="none"/>
                <w:vertAlign w:val="subscript"/>
                <w:lang w:eastAsia="zh-CN"/>
              </w:rPr>
              <w:t>WA</w:t>
            </w:r>
            <w:r>
              <w:rPr>
                <w:rFonts w:ascii="Times New Roman" w:hAnsi="Times New Roman" w:cs="Times New Roman"/>
                <w:color w:val="auto"/>
                <w:sz w:val="21"/>
                <w:szCs w:val="21"/>
                <w:highlight w:val="none"/>
                <w:lang w:eastAsia="zh-CN"/>
              </w:rPr>
              <w:t xml:space="preserve"> — 点声源的A声级，dB(A)；</w:t>
            </w:r>
          </w:p>
          <w:p>
            <w:pPr>
              <w:pStyle w:val="18"/>
              <w:spacing w:line="360" w:lineRule="auto"/>
              <w:ind w:firstLine="1365" w:firstLineChars="65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r — 点声源到预测点的距离，m；</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本次环评根据各噪声源的噪声叠加值计算出机械设备噪声对环境的影响范围，详见</w:t>
            </w:r>
            <w:r>
              <w:rPr>
                <w:rFonts w:hint="eastAsia" w:ascii="Times New Roman" w:hAnsi="Times New Roman" w:cs="Times New Roman"/>
                <w:color w:val="auto"/>
                <w:sz w:val="21"/>
                <w:szCs w:val="21"/>
                <w:highlight w:val="none"/>
                <w:lang w:val="en-US" w:eastAsia="zh-CN"/>
              </w:rPr>
              <w:t>4-8</w:t>
            </w:r>
            <w:r>
              <w:rPr>
                <w:rFonts w:ascii="Times New Roman" w:hAnsi="Times New Roman" w:cs="Times New Roman"/>
                <w:color w:val="auto"/>
                <w:sz w:val="21"/>
                <w:szCs w:val="21"/>
                <w:highlight w:val="none"/>
                <w:lang w:eastAsia="zh-CN"/>
              </w:rPr>
              <w:t>。</w:t>
            </w:r>
          </w:p>
          <w:p>
            <w:pPr>
              <w:pStyle w:val="18"/>
              <w:jc w:val="center"/>
              <w:rPr>
                <w:rFonts w:ascii="Times New Roman" w:hAnsi="Times New Roman" w:cs="Times New Roman"/>
                <w:color w:val="auto"/>
                <w:sz w:val="21"/>
                <w:szCs w:val="21"/>
                <w:highlight w:val="none"/>
                <w:lang w:eastAsia="zh-CN"/>
              </w:rPr>
            </w:pPr>
            <w:r>
              <w:rPr>
                <w:rFonts w:hint="eastAsia" w:ascii="Times New Roman" w:hAnsi="Times New Roman" w:cs="Times New Roman" w:eastAsiaTheme="minorEastAsia"/>
                <w:b/>
                <w:bCs/>
                <w:color w:val="auto"/>
                <w:sz w:val="21"/>
                <w:szCs w:val="21"/>
                <w:highlight w:val="none"/>
                <w:lang w:eastAsia="zh-CN"/>
              </w:rPr>
              <w:t>表</w:t>
            </w:r>
            <w:r>
              <w:rPr>
                <w:rFonts w:hint="eastAsia" w:ascii="Times New Roman" w:hAnsi="Times New Roman" w:cs="Times New Roman" w:eastAsiaTheme="minorEastAsia"/>
                <w:b/>
                <w:bCs/>
                <w:color w:val="auto"/>
                <w:sz w:val="21"/>
                <w:szCs w:val="21"/>
                <w:highlight w:val="none"/>
                <w:lang w:val="en-US" w:eastAsia="zh-CN"/>
              </w:rPr>
              <w:t>4-8</w:t>
            </w:r>
            <w:r>
              <w:rPr>
                <w:rFonts w:ascii="Times New Roman" w:hAnsi="Times New Roman" w:cs="Times New Roman" w:eastAsiaTheme="minorEastAsia"/>
                <w:b/>
                <w:bCs/>
                <w:color w:val="auto"/>
                <w:sz w:val="21"/>
                <w:szCs w:val="21"/>
                <w:highlight w:val="none"/>
                <w:lang w:eastAsia="zh-CN"/>
              </w:rPr>
              <w:t xml:space="preserve">    </w:t>
            </w:r>
            <w:r>
              <w:rPr>
                <w:rFonts w:hint="eastAsia" w:ascii="Times New Roman" w:hAnsi="Times New Roman" w:cs="Times New Roman" w:eastAsiaTheme="minorEastAsia"/>
                <w:b/>
                <w:bCs/>
                <w:color w:val="auto"/>
                <w:sz w:val="21"/>
                <w:szCs w:val="21"/>
                <w:highlight w:val="none"/>
                <w:lang w:eastAsia="zh-CN"/>
              </w:rPr>
              <w:t>项目噪声影响范围一览表</w:t>
            </w:r>
            <w:r>
              <w:rPr>
                <w:rFonts w:ascii="Times New Roman" w:hAnsi="Times New Roman" w:cs="Times New Roman" w:eastAsiaTheme="minorEastAsia"/>
                <w:b/>
                <w:bCs/>
                <w:color w:val="auto"/>
                <w:sz w:val="21"/>
                <w:szCs w:val="21"/>
                <w:highlight w:val="none"/>
                <w:lang w:eastAsia="zh-CN"/>
              </w:rPr>
              <w:t xml:space="preserve">        </w:t>
            </w:r>
            <w:r>
              <w:rPr>
                <w:rFonts w:hint="eastAsia" w:ascii="Times New Roman" w:hAnsi="Times New Roman" w:cs="Times New Roman" w:eastAsiaTheme="minorEastAsia"/>
                <w:b/>
                <w:bCs/>
                <w:color w:val="auto"/>
                <w:sz w:val="21"/>
                <w:szCs w:val="21"/>
                <w:highlight w:val="none"/>
                <w:lang w:eastAsia="zh-CN"/>
              </w:rPr>
              <w:t>单位：d</w:t>
            </w:r>
            <w:r>
              <w:rPr>
                <w:rFonts w:ascii="Times New Roman" w:hAnsi="Times New Roman" w:cs="Times New Roman" w:eastAsiaTheme="minorEastAsia"/>
                <w:b/>
                <w:bCs/>
                <w:color w:val="auto"/>
                <w:sz w:val="21"/>
                <w:szCs w:val="21"/>
                <w:highlight w:val="none"/>
                <w:lang w:eastAsia="zh-CN"/>
              </w:rPr>
              <w:t>B</w:t>
            </w:r>
            <w:r>
              <w:rPr>
                <w:rFonts w:hint="eastAsia" w:ascii="Times New Roman" w:hAnsi="Times New Roman" w:cs="Times New Roman" w:eastAsiaTheme="minorEastAsia"/>
                <w:b/>
                <w:bCs/>
                <w:color w:val="auto"/>
                <w:sz w:val="21"/>
                <w:szCs w:val="21"/>
                <w:highlight w:val="none"/>
                <w:lang w:eastAsia="zh-CN"/>
              </w:rPr>
              <w:t>（A）</w:t>
            </w:r>
          </w:p>
          <w:tbl>
            <w:tblPr>
              <w:tblStyle w:val="15"/>
              <w:tblW w:w="86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547"/>
              <w:gridCol w:w="547"/>
              <w:gridCol w:w="547"/>
              <w:gridCol w:w="547"/>
              <w:gridCol w:w="551"/>
              <w:gridCol w:w="659"/>
              <w:gridCol w:w="698"/>
              <w:gridCol w:w="124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1" w:type="dxa"/>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叠加后噪声源强</w:t>
                  </w:r>
                </w:p>
              </w:tc>
              <w:tc>
                <w:tcPr>
                  <w:tcW w:w="2739" w:type="dxa"/>
                  <w:gridSpan w:val="5"/>
                  <w:vAlign w:val="center"/>
                </w:tcPr>
                <w:p>
                  <w:pPr>
                    <w:jc w:val="center"/>
                    <w:rPr>
                      <w:rFonts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距离（m）</w:t>
                  </w:r>
                </w:p>
              </w:tc>
              <w:tc>
                <w:tcPr>
                  <w:tcW w:w="1357" w:type="dxa"/>
                  <w:gridSpan w:val="2"/>
                  <w:vAlign w:val="center"/>
                </w:tcPr>
                <w:p>
                  <w:pPr>
                    <w:jc w:val="center"/>
                    <w:rPr>
                      <w:rFonts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限值标准</w:t>
                  </w:r>
                </w:p>
              </w:tc>
              <w:tc>
                <w:tcPr>
                  <w:tcW w:w="2775" w:type="dxa"/>
                  <w:gridSpan w:val="2"/>
                  <w:vAlign w:val="center"/>
                </w:tcPr>
                <w:p>
                  <w:pPr>
                    <w:jc w:val="center"/>
                    <w:rPr>
                      <w:rFonts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满足标准限值的距离（m）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1" w:type="dxa"/>
                  <w:vMerge w:val="restart"/>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9</w:t>
                  </w:r>
                  <w:r>
                    <w:rPr>
                      <w:rFonts w:ascii="Times New Roman" w:hAnsi="Times New Roman" w:cs="Times New Roman"/>
                      <w:color w:val="auto"/>
                      <w:sz w:val="21"/>
                      <w:szCs w:val="21"/>
                      <w:highlight w:val="none"/>
                      <w:lang w:eastAsia="zh-CN"/>
                    </w:rPr>
                    <w:t>3</w:t>
                  </w:r>
                </w:p>
              </w:tc>
              <w:tc>
                <w:tcPr>
                  <w:tcW w:w="5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w:t>
                  </w:r>
                  <w:r>
                    <w:rPr>
                      <w:rFonts w:ascii="Times New Roman" w:hAnsi="Times New Roman" w:cs="Times New Roman"/>
                      <w:color w:val="auto"/>
                      <w:sz w:val="21"/>
                      <w:szCs w:val="21"/>
                      <w:highlight w:val="none"/>
                      <w:lang w:eastAsia="zh-CN"/>
                    </w:rPr>
                    <w:t>0</w:t>
                  </w:r>
                </w:p>
              </w:tc>
              <w:tc>
                <w:tcPr>
                  <w:tcW w:w="5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w:t>
                  </w:r>
                  <w:r>
                    <w:rPr>
                      <w:rFonts w:ascii="Times New Roman" w:hAnsi="Times New Roman" w:cs="Times New Roman"/>
                      <w:color w:val="auto"/>
                      <w:sz w:val="21"/>
                      <w:szCs w:val="21"/>
                      <w:highlight w:val="none"/>
                      <w:lang w:eastAsia="zh-CN"/>
                    </w:rPr>
                    <w:t>0</w:t>
                  </w:r>
                </w:p>
              </w:tc>
              <w:tc>
                <w:tcPr>
                  <w:tcW w:w="5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3</w:t>
                  </w:r>
                  <w:r>
                    <w:rPr>
                      <w:rFonts w:ascii="Times New Roman" w:hAnsi="Times New Roman" w:cs="Times New Roman"/>
                      <w:color w:val="auto"/>
                      <w:sz w:val="21"/>
                      <w:szCs w:val="21"/>
                      <w:highlight w:val="none"/>
                      <w:lang w:eastAsia="zh-CN"/>
                    </w:rPr>
                    <w:t>0</w:t>
                  </w:r>
                </w:p>
              </w:tc>
              <w:tc>
                <w:tcPr>
                  <w:tcW w:w="5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4</w:t>
                  </w:r>
                  <w:r>
                    <w:rPr>
                      <w:rFonts w:ascii="Times New Roman" w:hAnsi="Times New Roman" w:cs="Times New Roman"/>
                      <w:color w:val="auto"/>
                      <w:sz w:val="21"/>
                      <w:szCs w:val="21"/>
                      <w:highlight w:val="none"/>
                      <w:lang w:eastAsia="zh-CN"/>
                    </w:rPr>
                    <w:t>0</w:t>
                  </w:r>
                </w:p>
              </w:tc>
              <w:tc>
                <w:tcPr>
                  <w:tcW w:w="551"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5</w:t>
                  </w:r>
                  <w:r>
                    <w:rPr>
                      <w:rFonts w:ascii="Times New Roman" w:hAnsi="Times New Roman" w:cs="Times New Roman"/>
                      <w:color w:val="auto"/>
                      <w:sz w:val="21"/>
                      <w:szCs w:val="21"/>
                      <w:highlight w:val="none"/>
                      <w:lang w:eastAsia="zh-CN"/>
                    </w:rPr>
                    <w:t>0</w:t>
                  </w:r>
                </w:p>
              </w:tc>
              <w:tc>
                <w:tcPr>
                  <w:tcW w:w="659"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昼间</w:t>
                  </w:r>
                </w:p>
              </w:tc>
              <w:tc>
                <w:tcPr>
                  <w:tcW w:w="698"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夜间</w:t>
                  </w:r>
                </w:p>
              </w:tc>
              <w:tc>
                <w:tcPr>
                  <w:tcW w:w="12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昼间</w:t>
                  </w:r>
                </w:p>
              </w:tc>
              <w:tc>
                <w:tcPr>
                  <w:tcW w:w="1528"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1" w:type="dxa"/>
                  <w:vMerge w:val="continue"/>
                  <w:vAlign w:val="center"/>
                </w:tcPr>
                <w:p>
                  <w:pPr>
                    <w:jc w:val="center"/>
                    <w:rPr>
                      <w:rFonts w:ascii="Times New Roman" w:hAnsi="Times New Roman" w:cs="Times New Roman"/>
                      <w:color w:val="auto"/>
                      <w:sz w:val="21"/>
                      <w:szCs w:val="21"/>
                      <w:highlight w:val="none"/>
                      <w:lang w:eastAsia="zh-CN"/>
                    </w:rPr>
                  </w:pPr>
                </w:p>
              </w:tc>
              <w:tc>
                <w:tcPr>
                  <w:tcW w:w="5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7</w:t>
                  </w:r>
                  <w:r>
                    <w:rPr>
                      <w:rFonts w:ascii="Times New Roman" w:hAnsi="Times New Roman" w:cs="Times New Roman"/>
                      <w:color w:val="auto"/>
                      <w:sz w:val="21"/>
                      <w:szCs w:val="21"/>
                      <w:highlight w:val="none"/>
                      <w:lang w:eastAsia="zh-CN"/>
                    </w:rPr>
                    <w:t>3</w:t>
                  </w:r>
                </w:p>
              </w:tc>
              <w:tc>
                <w:tcPr>
                  <w:tcW w:w="547"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67</w:t>
                  </w:r>
                </w:p>
              </w:tc>
              <w:tc>
                <w:tcPr>
                  <w:tcW w:w="547"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63</w:t>
                  </w:r>
                </w:p>
              </w:tc>
              <w:tc>
                <w:tcPr>
                  <w:tcW w:w="5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6</w:t>
                  </w:r>
                  <w:r>
                    <w:rPr>
                      <w:rFonts w:ascii="Times New Roman" w:hAnsi="Times New Roman" w:cs="Times New Roman"/>
                      <w:color w:val="auto"/>
                      <w:sz w:val="21"/>
                      <w:szCs w:val="21"/>
                      <w:highlight w:val="none"/>
                      <w:lang w:eastAsia="zh-CN"/>
                    </w:rPr>
                    <w:t>1</w:t>
                  </w:r>
                </w:p>
              </w:tc>
              <w:tc>
                <w:tcPr>
                  <w:tcW w:w="551" w:type="dxa"/>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59</w:t>
                  </w:r>
                </w:p>
              </w:tc>
              <w:tc>
                <w:tcPr>
                  <w:tcW w:w="659"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6</w:t>
                  </w:r>
                  <w:r>
                    <w:rPr>
                      <w:rFonts w:ascii="Times New Roman" w:hAnsi="Times New Roman" w:cs="Times New Roman"/>
                      <w:color w:val="auto"/>
                      <w:sz w:val="21"/>
                      <w:szCs w:val="21"/>
                      <w:highlight w:val="none"/>
                      <w:lang w:eastAsia="zh-CN"/>
                    </w:rPr>
                    <w:t>0</w:t>
                  </w:r>
                </w:p>
              </w:tc>
              <w:tc>
                <w:tcPr>
                  <w:tcW w:w="698"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5</w:t>
                  </w:r>
                  <w:r>
                    <w:rPr>
                      <w:rFonts w:ascii="Times New Roman" w:hAnsi="Times New Roman" w:cs="Times New Roman"/>
                      <w:color w:val="auto"/>
                      <w:sz w:val="21"/>
                      <w:szCs w:val="21"/>
                      <w:highlight w:val="none"/>
                      <w:lang w:eastAsia="zh-CN"/>
                    </w:rPr>
                    <w:t>0</w:t>
                  </w:r>
                </w:p>
              </w:tc>
              <w:tc>
                <w:tcPr>
                  <w:tcW w:w="1247"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5</w:t>
                  </w:r>
                  <w:r>
                    <w:rPr>
                      <w:rFonts w:ascii="Times New Roman" w:hAnsi="Times New Roman" w:cs="Times New Roman"/>
                      <w:color w:val="auto"/>
                      <w:sz w:val="21"/>
                      <w:szCs w:val="21"/>
                      <w:highlight w:val="none"/>
                      <w:lang w:eastAsia="zh-CN"/>
                    </w:rPr>
                    <w:t>0</w:t>
                  </w:r>
                </w:p>
              </w:tc>
              <w:tc>
                <w:tcPr>
                  <w:tcW w:w="1528" w:type="dxa"/>
                  <w:vAlign w:val="center"/>
                </w:tcPr>
                <w:p>
                  <w:pPr>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w:t>
                  </w:r>
                </w:p>
              </w:tc>
            </w:tr>
          </w:tbl>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由表</w:t>
            </w:r>
            <w:r>
              <w:rPr>
                <w:rFonts w:hint="eastAsia" w:ascii="Times New Roman" w:hAnsi="Times New Roman" w:cs="Times New Roman"/>
                <w:color w:val="auto"/>
                <w:sz w:val="21"/>
                <w:szCs w:val="21"/>
                <w:highlight w:val="none"/>
                <w:lang w:val="en-US" w:eastAsia="zh-CN"/>
              </w:rPr>
              <w:t>4-8</w:t>
            </w:r>
            <w:r>
              <w:rPr>
                <w:rFonts w:ascii="Times New Roman" w:hAnsi="Times New Roman" w:cs="Times New Roman"/>
                <w:color w:val="auto"/>
                <w:sz w:val="21"/>
                <w:szCs w:val="21"/>
                <w:highlight w:val="none"/>
                <w:lang w:eastAsia="zh-CN"/>
              </w:rPr>
              <w:t>中的</w:t>
            </w:r>
            <w:r>
              <w:rPr>
                <w:rFonts w:hint="eastAsia" w:ascii="Times New Roman" w:hAnsi="Times New Roman" w:cs="Times New Roman"/>
                <w:color w:val="auto"/>
                <w:sz w:val="21"/>
                <w:szCs w:val="21"/>
                <w:highlight w:val="none"/>
                <w:lang w:eastAsia="zh-CN"/>
              </w:rPr>
              <w:t>计算</w:t>
            </w:r>
            <w:r>
              <w:rPr>
                <w:rFonts w:ascii="Times New Roman" w:hAnsi="Times New Roman" w:cs="Times New Roman"/>
                <w:color w:val="auto"/>
                <w:sz w:val="21"/>
                <w:szCs w:val="21"/>
                <w:highlight w:val="none"/>
                <w:lang w:eastAsia="zh-CN"/>
              </w:rPr>
              <w:t>数据可以看出，机械</w:t>
            </w:r>
            <w:r>
              <w:rPr>
                <w:rFonts w:hint="eastAsia" w:ascii="Times New Roman" w:hAnsi="Times New Roman" w:cs="Times New Roman"/>
                <w:color w:val="auto"/>
                <w:sz w:val="21"/>
                <w:szCs w:val="21"/>
                <w:highlight w:val="none"/>
                <w:lang w:eastAsia="zh-CN"/>
              </w:rPr>
              <w:t>设备</w:t>
            </w:r>
            <w:r>
              <w:rPr>
                <w:rFonts w:ascii="Times New Roman" w:hAnsi="Times New Roman" w:cs="Times New Roman"/>
                <w:color w:val="auto"/>
                <w:sz w:val="21"/>
                <w:szCs w:val="21"/>
                <w:highlight w:val="none"/>
                <w:lang w:eastAsia="zh-CN"/>
              </w:rPr>
              <w:t>本身的作业噪声较高，随着距离的增加，噪声逐渐衰减。机械</w:t>
            </w:r>
            <w:r>
              <w:rPr>
                <w:rFonts w:hint="eastAsia" w:ascii="Times New Roman" w:hAnsi="Times New Roman" w:cs="Times New Roman"/>
                <w:color w:val="auto"/>
                <w:sz w:val="21"/>
                <w:szCs w:val="21"/>
                <w:highlight w:val="none"/>
                <w:lang w:eastAsia="zh-CN"/>
              </w:rPr>
              <w:t>设备</w:t>
            </w:r>
            <w:r>
              <w:rPr>
                <w:rFonts w:ascii="Times New Roman" w:hAnsi="Times New Roman" w:cs="Times New Roman"/>
                <w:color w:val="auto"/>
                <w:sz w:val="21"/>
                <w:szCs w:val="21"/>
                <w:highlight w:val="none"/>
                <w:lang w:eastAsia="zh-CN"/>
              </w:rPr>
              <w:t>噪声对周围环境的最大影响范围为昼间</w:t>
            </w:r>
            <w:r>
              <w:rPr>
                <w:rFonts w:hint="eastAsia" w:ascii="Times New Roman" w:hAnsi="Times New Roman" w:cs="Times New Roman"/>
                <w:color w:val="auto"/>
                <w:sz w:val="21"/>
                <w:szCs w:val="21"/>
                <w:highlight w:val="none"/>
                <w:lang w:eastAsia="zh-CN"/>
              </w:rPr>
              <w:t>5</w:t>
            </w:r>
            <w:r>
              <w:rPr>
                <w:rFonts w:ascii="Times New Roman" w:hAnsi="Times New Roman" w:cs="Times New Roman"/>
                <w:color w:val="auto"/>
                <w:sz w:val="21"/>
                <w:szCs w:val="21"/>
                <w:highlight w:val="none"/>
                <w:lang w:eastAsia="zh-CN"/>
              </w:rPr>
              <w:t>0m，夜间</w:t>
            </w:r>
            <w:r>
              <w:rPr>
                <w:rFonts w:hint="eastAsia" w:ascii="Times New Roman" w:hAnsi="Times New Roman" w:cs="Times New Roman"/>
                <w:color w:val="auto"/>
                <w:sz w:val="21"/>
                <w:szCs w:val="21"/>
                <w:highlight w:val="none"/>
                <w:lang w:eastAsia="zh-CN"/>
              </w:rPr>
              <w:t>不开采</w:t>
            </w:r>
            <w:r>
              <w:rPr>
                <w:rFonts w:ascii="Times New Roman" w:hAnsi="Times New Roman" w:cs="Times New Roman"/>
                <w:color w:val="auto"/>
                <w:sz w:val="21"/>
                <w:szCs w:val="21"/>
                <w:highlight w:val="none"/>
                <w:lang w:eastAsia="zh-CN"/>
              </w:rPr>
              <w:t>，距离超出</w:t>
            </w:r>
            <w:r>
              <w:rPr>
                <w:rFonts w:hint="eastAsia" w:ascii="Times New Roman" w:hAnsi="Times New Roman" w:cs="Times New Roman"/>
                <w:color w:val="auto"/>
                <w:sz w:val="21"/>
                <w:szCs w:val="21"/>
                <w:highlight w:val="none"/>
                <w:lang w:eastAsia="zh-CN"/>
              </w:rPr>
              <w:t>5</w:t>
            </w:r>
            <w:r>
              <w:rPr>
                <w:rFonts w:ascii="Times New Roman" w:hAnsi="Times New Roman" w:cs="Times New Roman"/>
                <w:color w:val="auto"/>
                <w:sz w:val="21"/>
                <w:szCs w:val="21"/>
                <w:highlight w:val="none"/>
                <w:lang w:eastAsia="zh-CN"/>
              </w:rPr>
              <w:t>0m范围即可满足</w:t>
            </w:r>
            <w:r>
              <w:rPr>
                <w:rFonts w:hint="eastAsia" w:ascii="Times New Roman" w:hAnsi="Times New Roman" w:cs="Times New Roman"/>
                <w:color w:val="auto"/>
                <w:sz w:val="21"/>
                <w:szCs w:val="21"/>
                <w:highlight w:val="none"/>
                <w:lang w:eastAsia="zh-CN"/>
              </w:rPr>
              <w:t>《工业企业厂界环境噪声排放标准》（</w:t>
            </w:r>
            <w:r>
              <w:rPr>
                <w:rFonts w:ascii="Times New Roman" w:hAnsi="Times New Roman" w:cs="Times New Roman"/>
                <w:color w:val="auto"/>
                <w:sz w:val="21"/>
                <w:szCs w:val="21"/>
                <w:highlight w:val="none"/>
                <w:lang w:eastAsia="zh-CN"/>
              </w:rPr>
              <w:t>GB 12348-2008）的要求。</w:t>
            </w:r>
            <w:r>
              <w:rPr>
                <w:rFonts w:hint="eastAsia" w:ascii="Times New Roman" w:hAnsi="Times New Roman" w:cs="Times New Roman"/>
                <w:color w:val="auto"/>
                <w:sz w:val="21"/>
                <w:szCs w:val="21"/>
                <w:highlight w:val="none"/>
                <w:lang w:eastAsia="zh-CN"/>
              </w:rPr>
              <w:t>据现场勘查，项目厂界周边5</w:t>
            </w:r>
            <w:r>
              <w:rPr>
                <w:rFonts w:ascii="Times New Roman" w:hAnsi="Times New Roman" w:cs="Times New Roman"/>
                <w:color w:val="auto"/>
                <w:sz w:val="21"/>
                <w:szCs w:val="21"/>
                <w:highlight w:val="none"/>
                <w:lang w:eastAsia="zh-CN"/>
              </w:rPr>
              <w:t>0m</w:t>
            </w:r>
            <w:r>
              <w:rPr>
                <w:rFonts w:hint="eastAsia" w:ascii="Times New Roman" w:hAnsi="Times New Roman" w:cs="Times New Roman"/>
                <w:color w:val="auto"/>
                <w:sz w:val="21"/>
                <w:szCs w:val="21"/>
                <w:highlight w:val="none"/>
                <w:lang w:eastAsia="zh-CN"/>
              </w:rPr>
              <w:t>范围内无声环境敏感目标，项目运营期机械设备噪声对声环境影响较小。</w:t>
            </w:r>
          </w:p>
          <w:p>
            <w:pPr>
              <w:pStyle w:val="18"/>
              <w:spacing w:line="360" w:lineRule="auto"/>
              <w:jc w:val="both"/>
              <w:rPr>
                <w:rFonts w:ascii="Times New Roman" w:hAnsi="Times New Roman" w:cs="Times New Roman"/>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4、运营期固体废物影响分析</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运营期，黏土矿不在项目区内破碎、筛分，无废弃粘土矿渣产生；固体废物主要为工作人员产生的生活垃圾，其产生量按</w:t>
            </w:r>
            <w:r>
              <w:rPr>
                <w:rFonts w:ascii="Times New Roman" w:hAnsi="Times New Roman" w:cs="Times New Roman"/>
                <w:color w:val="auto"/>
                <w:sz w:val="21"/>
                <w:szCs w:val="21"/>
                <w:highlight w:val="none"/>
                <w:lang w:eastAsia="zh-CN"/>
              </w:rPr>
              <w:t>0.5kg/人·d计，</w:t>
            </w:r>
            <w:r>
              <w:rPr>
                <w:rFonts w:hint="eastAsia" w:ascii="Times New Roman" w:hAnsi="Times New Roman" w:cs="Times New Roman"/>
                <w:color w:val="auto"/>
                <w:sz w:val="21"/>
                <w:szCs w:val="21"/>
                <w:highlight w:val="none"/>
                <w:lang w:eastAsia="zh-CN"/>
              </w:rPr>
              <w:t>项目劳动</w:t>
            </w:r>
            <w:r>
              <w:rPr>
                <w:rFonts w:ascii="Times New Roman" w:hAnsi="Times New Roman" w:cs="Times New Roman"/>
                <w:color w:val="auto"/>
                <w:sz w:val="21"/>
                <w:szCs w:val="21"/>
                <w:highlight w:val="none"/>
                <w:lang w:eastAsia="zh-CN"/>
              </w:rPr>
              <w:t>定员</w:t>
            </w:r>
            <w:r>
              <w:rPr>
                <w:rFonts w:hint="eastAsia" w:ascii="Times New Roman" w:hAnsi="Times New Roman" w:cs="Times New Roman"/>
                <w:color w:val="auto"/>
                <w:sz w:val="21"/>
                <w:szCs w:val="21"/>
                <w:highlight w:val="none"/>
                <w:lang w:val="en-US" w:eastAsia="zh-CN"/>
              </w:rPr>
              <w:t>25</w:t>
            </w:r>
            <w:r>
              <w:rPr>
                <w:rFonts w:ascii="Times New Roman" w:hAnsi="Times New Roman" w:cs="Times New Roman"/>
                <w:color w:val="auto"/>
                <w:sz w:val="21"/>
                <w:szCs w:val="21"/>
                <w:highlight w:val="none"/>
                <w:lang w:eastAsia="zh-CN"/>
              </w:rPr>
              <w:t>人，</w:t>
            </w:r>
            <w:r>
              <w:rPr>
                <w:rFonts w:hint="eastAsia" w:ascii="Times New Roman" w:hAnsi="Times New Roman" w:cs="Times New Roman"/>
                <w:color w:val="auto"/>
                <w:sz w:val="21"/>
                <w:szCs w:val="21"/>
                <w:highlight w:val="none"/>
                <w:lang w:eastAsia="zh-CN"/>
              </w:rPr>
              <w:t>年生产2</w:t>
            </w:r>
            <w:r>
              <w:rPr>
                <w:rFonts w:hint="eastAsia" w:ascii="Times New Roman" w:hAnsi="Times New Roman" w:cs="Times New Roman"/>
                <w:color w:val="auto"/>
                <w:sz w:val="21"/>
                <w:szCs w:val="21"/>
                <w:highlight w:val="none"/>
                <w:lang w:val="en-US" w:eastAsia="zh-CN"/>
              </w:rPr>
              <w:t>5</w:t>
            </w:r>
            <w:r>
              <w:rPr>
                <w:rFonts w:ascii="Times New Roman" w:hAnsi="Times New Roman" w:cs="Times New Roman"/>
                <w:color w:val="auto"/>
                <w:sz w:val="21"/>
                <w:szCs w:val="21"/>
                <w:highlight w:val="none"/>
                <w:lang w:eastAsia="zh-CN"/>
              </w:rPr>
              <w:t>0d，则</w:t>
            </w:r>
            <w:r>
              <w:rPr>
                <w:rFonts w:hint="eastAsia" w:ascii="Times New Roman" w:hAnsi="Times New Roman" w:cs="Times New Roman"/>
                <w:color w:val="auto"/>
                <w:sz w:val="21"/>
                <w:szCs w:val="21"/>
                <w:highlight w:val="none"/>
                <w:lang w:eastAsia="zh-CN"/>
              </w:rPr>
              <w:t>运营期</w:t>
            </w:r>
            <w:r>
              <w:rPr>
                <w:rFonts w:ascii="Times New Roman" w:hAnsi="Times New Roman" w:cs="Times New Roman"/>
                <w:color w:val="auto"/>
                <w:sz w:val="21"/>
                <w:szCs w:val="21"/>
                <w:highlight w:val="none"/>
                <w:lang w:eastAsia="zh-CN"/>
              </w:rPr>
              <w:t>生活垃圾产生总量约为3t/a，生活垃圾统一收集后交由环卫部门处置。</w:t>
            </w:r>
            <w:r>
              <w:rPr>
                <w:rFonts w:hint="eastAsia" w:ascii="Times New Roman" w:hAnsi="Times New Roman" w:cs="Times New Roman"/>
                <w:color w:val="auto"/>
                <w:sz w:val="21"/>
                <w:szCs w:val="21"/>
                <w:highlight w:val="none"/>
                <w:lang w:eastAsia="zh-CN"/>
              </w:rPr>
              <w:t>项目运营期机械设备、运输车辆等在塔勒德镇</w:t>
            </w:r>
            <w:r>
              <w:rPr>
                <w:rFonts w:ascii="Times New Roman" w:hAnsi="Times New Roman" w:cs="Times New Roman"/>
                <w:color w:val="auto"/>
                <w:sz w:val="21"/>
                <w:szCs w:val="21"/>
                <w:highlight w:val="none"/>
                <w:lang w:eastAsia="zh-CN"/>
              </w:rPr>
              <w:t>定点维护检修保养，因此，本项目不产生废机油等危险废物。</w:t>
            </w:r>
          </w:p>
          <w:p>
            <w:pPr>
              <w:pStyle w:val="18"/>
              <w:spacing w:line="360" w:lineRule="auto"/>
              <w:jc w:val="both"/>
              <w:rPr>
                <w:rFonts w:ascii="Times New Roman" w:hAnsi="Times New Roman" w:cs="Times New Roman"/>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5、运营期</w:t>
            </w:r>
            <w:r>
              <w:rPr>
                <w:rFonts w:hint="eastAsia" w:ascii="Times New Roman" w:hAnsi="Times New Roman" w:cs="Times New Roman" w:eastAsiaTheme="minorEastAsia"/>
                <w:b/>
                <w:bCs/>
                <w:color w:val="auto"/>
                <w:sz w:val="21"/>
                <w:szCs w:val="21"/>
                <w:highlight w:val="none"/>
                <w:lang w:eastAsia="zh-CN"/>
              </w:rPr>
              <w:t>土壤环境</w:t>
            </w:r>
            <w:r>
              <w:rPr>
                <w:rFonts w:ascii="Times New Roman" w:hAnsi="Times New Roman" w:cs="Times New Roman" w:eastAsiaTheme="minorEastAsia"/>
                <w:b/>
                <w:bCs/>
                <w:color w:val="auto"/>
                <w:sz w:val="21"/>
                <w:szCs w:val="21"/>
                <w:highlight w:val="none"/>
                <w:lang w:eastAsia="zh-CN"/>
              </w:rPr>
              <w:t>影响分析</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土壤污染是指人类活动所产生的物质（污染物），通过多种途径进入土壤，</w:t>
            </w:r>
            <w:r>
              <w:rPr>
                <w:rFonts w:ascii="Times New Roman" w:hAnsi="Times New Roman" w:cs="Times New Roman"/>
                <w:color w:val="auto"/>
                <w:sz w:val="21"/>
                <w:szCs w:val="21"/>
                <w:highlight w:val="none"/>
                <w:lang w:eastAsia="zh-CN"/>
              </w:rPr>
              <w:t>其数量和速度超过了土壤的承载能力和自净能力的现象。土壤污染可使土壤的理化性质、组成及性状等发生变化，使污染物的积累过程逐渐占据优势，破坏了土壤的自然动态平衡，从而导致土壤自然正常功能失调，土壤质量恶化，影响作物的生长发育，导致其产量和质量下降，并可通过食物链对人和动物健康造成影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项目采矿区范围内土壤主要以灰钙土为主，面积为</w:t>
            </w:r>
            <w:r>
              <w:rPr>
                <w:rFonts w:hint="eastAsia" w:ascii="Times New Roman" w:hAnsi="Times New Roman" w:cs="Times New Roman"/>
                <w:color w:val="auto"/>
                <w:sz w:val="21"/>
                <w:szCs w:val="21"/>
                <w:highlight w:val="none"/>
                <w:lang w:val="en-US" w:eastAsia="zh-CN"/>
              </w:rPr>
              <w:t>22600</w:t>
            </w:r>
            <w:r>
              <w:rPr>
                <w:rFonts w:ascii="Times New Roman" w:hAnsi="Times New Roman" w:cs="Times New Roman"/>
                <w:color w:val="auto"/>
                <w:sz w:val="21"/>
                <w:szCs w:val="21"/>
                <w:highlight w:val="none"/>
                <w:lang w:eastAsia="zh-CN"/>
              </w:rPr>
              <w:t>m²</w:t>
            </w:r>
            <w:r>
              <w:rPr>
                <w:rFonts w:hint="eastAsia" w:ascii="Times New Roman" w:hAnsi="Times New Roman" w:cs="Times New Roman"/>
                <w:color w:val="auto"/>
                <w:sz w:val="21"/>
                <w:szCs w:val="21"/>
                <w:highlight w:val="none"/>
                <w:lang w:eastAsia="zh-CN"/>
              </w:rPr>
              <w:t>，项目损坏原有地貌、压占土地，使工程区土地资源受到影响，使裸地面积增加，开挖区域，地面原有土壤结构和组成将发生变化，土石混杂，结构松散，使土地的抗侵蚀能力大为下降，导致土壤生产力降低。项目开采只是造成采区内土壤的形态的改变、位置的转移，并不会改变区域内土壤的理化性质，不会造成土壤环境污染。因此，在科学开采地前提下，落实项目废气、废水、固废相关环境保护措施后，项目运营对区域土壤环境影响可控。</w:t>
            </w:r>
          </w:p>
          <w:p>
            <w:pPr>
              <w:pStyle w:val="18"/>
              <w:spacing w:line="360" w:lineRule="auto"/>
              <w:jc w:val="both"/>
              <w:rPr>
                <w:rFonts w:ascii="Times New Roman" w:hAnsi="Times New Roman" w:cs="Times New Roman"/>
                <w:color w:val="auto"/>
                <w:sz w:val="21"/>
                <w:szCs w:val="21"/>
                <w:highlight w:val="none"/>
                <w:lang w:eastAsia="zh-CN"/>
              </w:rPr>
            </w:pPr>
            <w:r>
              <w:rPr>
                <w:rFonts w:hint="eastAsia" w:ascii="Times New Roman" w:hAnsi="Times New Roman" w:cs="Times New Roman" w:eastAsiaTheme="minorEastAsia"/>
                <w:b/>
                <w:bCs/>
                <w:color w:val="auto"/>
                <w:sz w:val="21"/>
                <w:szCs w:val="21"/>
                <w:highlight w:val="none"/>
                <w:lang w:eastAsia="zh-CN"/>
              </w:rPr>
              <w:t>6</w:t>
            </w:r>
            <w:r>
              <w:rPr>
                <w:rFonts w:ascii="Times New Roman" w:hAnsi="Times New Roman" w:cs="Times New Roman" w:eastAsiaTheme="minorEastAsia"/>
                <w:b/>
                <w:bCs/>
                <w:color w:val="auto"/>
                <w:sz w:val="21"/>
                <w:szCs w:val="21"/>
                <w:highlight w:val="none"/>
                <w:lang w:eastAsia="zh-CN"/>
              </w:rPr>
              <w:t>、运营期生态影响分析</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w:t>
            </w:r>
            <w:r>
              <w:rPr>
                <w:rFonts w:hint="eastAsia" w:ascii="Times New Roman" w:hAnsi="Times New Roman" w:cs="Times New Roman"/>
                <w:color w:val="auto"/>
                <w:sz w:val="21"/>
                <w:szCs w:val="21"/>
                <w:highlight w:val="none"/>
                <w:lang w:eastAsia="zh-CN"/>
              </w:rPr>
              <w:t>对植被的影响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所在区域地表植被主要以伊犁绢蒿、木地肤、角果藜和杂草类为主，均为项目所在地的常见类型，无国家重点保护的珍稀濒危植物。项目粘土矿开挖将不可避免地破坏、扰动原地形地貌和植被，这部分植被将永远失去生产能力，从而降低该区域植被覆盖率和生物多样性，造成植被生物量的减少。项目仅造成采矿许可划定范围内的植被破坏，不会使范围外植物种群组成发生根本变化。区域植被的破坏、丧失会造成局部水土流失的加剧。</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的建设虽会造成评价区内同种植被类型面积上的减少，但不会造成任何植被类型的消失，该植被类型在项目用地红线范围外的适合地点仍有大量分布，项目的建设对植被类型的影响不大；由于项目占地范围内无珍稀植物种分布，虽然项目的建设会造成评价区内某些植物物种数量的减少，但不会造成任一植物种的消失，不会对该区域的植物多样性产生直接影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项目对植被的影响仅限于开采期内，项目开采面积</w:t>
            </w:r>
            <w:r>
              <w:rPr>
                <w:rFonts w:hint="eastAsia" w:ascii="Times New Roman" w:hAnsi="Times New Roman" w:cs="Times New Roman"/>
                <w:color w:val="auto"/>
                <w:sz w:val="21"/>
                <w:szCs w:val="21"/>
                <w:highlight w:val="none"/>
                <w:lang w:val="en-US" w:eastAsia="zh-CN"/>
              </w:rPr>
              <w:t>22600</w:t>
            </w:r>
            <w:r>
              <w:rPr>
                <w:rFonts w:hint="eastAsia" w:ascii="Times New Roman" w:hAnsi="Times New Roman" w:eastAsia="宋体" w:cs="Times New Roman"/>
                <w:color w:val="auto"/>
                <w:spacing w:val="4"/>
                <w:kern w:val="2"/>
                <w:sz w:val="21"/>
                <w:szCs w:val="21"/>
                <w:highlight w:val="none"/>
                <w:lang w:val="en-US" w:eastAsia="zh-CN"/>
              </w:rPr>
              <w:t>m</w:t>
            </w:r>
            <w:r>
              <w:rPr>
                <w:rFonts w:hint="eastAsia" w:ascii="Times New Roman" w:hAnsi="Times New Roman" w:eastAsia="宋体" w:cs="Times New Roman"/>
                <w:color w:val="auto"/>
                <w:spacing w:val="4"/>
                <w:kern w:val="2"/>
                <w:sz w:val="21"/>
                <w:szCs w:val="21"/>
                <w:highlight w:val="none"/>
                <w:vertAlign w:val="superscript"/>
                <w:lang w:val="en-US" w:eastAsia="zh-CN"/>
              </w:rPr>
              <w:t>2</w:t>
            </w:r>
            <w:r>
              <w:rPr>
                <w:rFonts w:hint="eastAsia" w:ascii="Times New Roman" w:hAnsi="Times New Roman" w:cs="Times New Roman"/>
                <w:color w:val="auto"/>
                <w:spacing w:val="4"/>
                <w:kern w:val="2"/>
                <w:sz w:val="21"/>
                <w:szCs w:val="21"/>
                <w:highlight w:val="none"/>
                <w:vertAlign w:val="baseline"/>
                <w:lang w:val="en-US" w:eastAsia="zh-CN"/>
              </w:rPr>
              <w:t>，开采区植被覆盖率较低，</w:t>
            </w:r>
            <w:r>
              <w:rPr>
                <w:rFonts w:hint="eastAsia" w:ascii="Times New Roman" w:hAnsi="Times New Roman" w:cs="Times New Roman"/>
                <w:color w:val="auto"/>
                <w:sz w:val="21"/>
                <w:szCs w:val="21"/>
                <w:highlight w:val="none"/>
                <w:lang w:eastAsia="zh-CN"/>
              </w:rPr>
              <w:t>闭矿期以后项目将按规定进行生态恢复，</w:t>
            </w:r>
            <w:r>
              <w:rPr>
                <w:rFonts w:hint="default" w:ascii="Times New Roman" w:hAnsi="Times New Roman" w:eastAsia="宋体" w:cs="Times New Roman"/>
                <w:color w:val="auto"/>
                <w:kern w:val="0"/>
                <w:sz w:val="21"/>
                <w:szCs w:val="21"/>
                <w:highlight w:val="none"/>
                <w:lang w:val="en-US" w:eastAsia="zh-CN" w:bidi="ar"/>
              </w:rPr>
              <w:t>复垦后植被覆盖率约50%，</w:t>
            </w:r>
            <w:r>
              <w:rPr>
                <w:rFonts w:hint="eastAsia" w:ascii="Times New Roman" w:hAnsi="Times New Roman" w:cs="Times New Roman"/>
                <w:color w:val="auto"/>
                <w:sz w:val="21"/>
                <w:szCs w:val="21"/>
                <w:highlight w:val="none"/>
                <w:lang w:eastAsia="zh-CN"/>
              </w:rPr>
              <w:t>这将补偿一部分开采期内被破坏的植被生物量。因此本环评要求，项目要严格在采矿许可划定的范围内开采，严禁非法取土，应加强植被保护意识，尽量减少对植物种群与资源的破坏，把项目开采对植被的影响降到最低。</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（2）对动物的影响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运营期对动物的直接影响主要是工作人员活动、机械设备、运输车辆、施工噪声等对动物的惊扰；间接影响主要是项目建设破坏植被和土壤，造成部分陆生动物栖息地的丧失。根据文献资料和现场勘查，项目区野生动物品种、数量均很少，主要是一些常见种类，兽类有野兔和鼠类，爬行类主要有沙蜥；鸟类主要有麻雀、喜鹊等常见种，没有国家级保护动物及珍稀濒危保护动物。由于区域人类开发活动，受到惊扰的动物会自发向其他未扰动区域迁徙。项目影响范围有限，不会对区域动物生活的生境造成明显影响。</w:t>
            </w:r>
          </w:p>
          <w:p>
            <w:pPr>
              <w:pStyle w:val="18"/>
              <w:spacing w:line="360" w:lineRule="auto"/>
              <w:jc w:val="both"/>
              <w:rPr>
                <w:rFonts w:ascii="Times New Roman" w:hAnsi="Times New Roman" w:cs="Times New Roman"/>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7、运营期</w:t>
            </w:r>
            <w:r>
              <w:rPr>
                <w:rFonts w:hint="eastAsia" w:ascii="Times New Roman" w:hAnsi="Times New Roman" w:cs="Times New Roman" w:eastAsiaTheme="minorEastAsia"/>
                <w:b/>
                <w:bCs/>
                <w:color w:val="auto"/>
                <w:sz w:val="21"/>
                <w:szCs w:val="21"/>
                <w:highlight w:val="none"/>
                <w:lang w:eastAsia="zh-CN"/>
              </w:rPr>
              <w:t>水土流失</w:t>
            </w:r>
            <w:r>
              <w:rPr>
                <w:rFonts w:ascii="Times New Roman" w:hAnsi="Times New Roman" w:cs="Times New Roman" w:eastAsiaTheme="minorEastAsia"/>
                <w:b/>
                <w:bCs/>
                <w:color w:val="auto"/>
                <w:sz w:val="21"/>
                <w:szCs w:val="21"/>
                <w:highlight w:val="none"/>
                <w:lang w:eastAsia="zh-CN"/>
              </w:rPr>
              <w:t>影响分析</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eastAsia="zh-CN"/>
              </w:rPr>
              <w:t>）水土流失预测</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①水土流失预测时段</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开采期：本项目开采期时段按照</w:t>
            </w:r>
            <w:r>
              <w:rPr>
                <w:rFonts w:hint="eastAsia" w:ascii="Times New Roman" w:hAnsi="Times New Roman" w:cs="Times New Roman"/>
                <w:color w:val="auto"/>
                <w:sz w:val="21"/>
                <w:szCs w:val="21"/>
                <w:highlight w:val="none"/>
                <w:lang w:val="en-US" w:eastAsia="zh-CN"/>
              </w:rPr>
              <w:t>8</w:t>
            </w:r>
            <w:r>
              <w:rPr>
                <w:rFonts w:ascii="Times New Roman" w:hAnsi="Times New Roman" w:cs="Times New Roman"/>
                <w:color w:val="auto"/>
                <w:sz w:val="21"/>
                <w:szCs w:val="21"/>
                <w:highlight w:val="none"/>
                <w:lang w:eastAsia="zh-CN"/>
              </w:rPr>
              <w:t>年进行分析。各侵蚀区的预测时段应按照</w:t>
            </w:r>
            <w:r>
              <w:rPr>
                <w:rFonts w:hint="eastAsia" w:ascii="Times New Roman" w:hAnsi="Times New Roman" w:cs="Times New Roman"/>
                <w:color w:val="auto"/>
                <w:sz w:val="21"/>
                <w:szCs w:val="21"/>
                <w:highlight w:val="none"/>
                <w:lang w:eastAsia="zh-CN"/>
              </w:rPr>
              <w:t>开采</w:t>
            </w:r>
            <w:r>
              <w:rPr>
                <w:rFonts w:ascii="Times New Roman" w:hAnsi="Times New Roman" w:cs="Times New Roman"/>
                <w:color w:val="auto"/>
                <w:sz w:val="21"/>
                <w:szCs w:val="21"/>
                <w:highlight w:val="none"/>
                <w:lang w:eastAsia="zh-CN"/>
              </w:rPr>
              <w:t>进度安排，同时将产生水土流失的季节按最不利的时段确定预测时段。</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自然恢复期：该项目区内气象、水文、地表组成物质等基本相同，工程建设区内现状土壤侵蚀类型以水力侵蚀为主，考虑到项目区年均降水量</w:t>
            </w:r>
            <w:r>
              <w:rPr>
                <w:rFonts w:hint="eastAsia" w:ascii="Times New Roman" w:hAnsi="Times New Roman" w:cs="Times New Roman"/>
                <w:color w:val="auto"/>
                <w:sz w:val="21"/>
                <w:szCs w:val="21"/>
                <w:highlight w:val="none"/>
                <w:lang w:val="en-US" w:eastAsia="zh-CN"/>
              </w:rPr>
              <w:t>476mm</w:t>
            </w:r>
            <w:r>
              <w:rPr>
                <w:rFonts w:ascii="Times New Roman" w:hAnsi="Times New Roman" w:cs="Times New Roman"/>
                <w:color w:val="auto"/>
                <w:sz w:val="21"/>
                <w:szCs w:val="21"/>
                <w:highlight w:val="none"/>
                <w:lang w:eastAsia="zh-CN"/>
              </w:rPr>
              <w:t>，此次预测的自然恢复期以</w:t>
            </w:r>
            <w:r>
              <w:rPr>
                <w:rFonts w:hint="eastAsia" w:ascii="Times New Roman" w:hAnsi="Times New Roman" w:cs="Times New Roman"/>
                <w:color w:val="auto"/>
                <w:sz w:val="21"/>
                <w:szCs w:val="21"/>
                <w:highlight w:val="none"/>
                <w:lang w:val="en-US" w:eastAsia="zh-CN"/>
              </w:rPr>
              <w:t>5</w:t>
            </w:r>
            <w:r>
              <w:rPr>
                <w:rFonts w:ascii="Times New Roman" w:hAnsi="Times New Roman" w:cs="Times New Roman"/>
                <w:color w:val="auto"/>
                <w:sz w:val="21"/>
                <w:szCs w:val="21"/>
                <w:highlight w:val="none"/>
                <w:lang w:eastAsia="zh-CN"/>
              </w:rPr>
              <w:t>年计算。</w:t>
            </w:r>
            <w:r>
              <w:rPr>
                <w:rFonts w:hint="eastAsia" w:ascii="Times New Roman" w:hAnsi="Times New Roman" w:cs="Times New Roman"/>
                <w:color w:val="auto"/>
                <w:sz w:val="21"/>
                <w:szCs w:val="21"/>
                <w:highlight w:val="none"/>
                <w:lang w:eastAsia="zh-CN"/>
              </w:rPr>
              <w:t>闭矿期生态恢复措施实施后，</w:t>
            </w:r>
            <w:r>
              <w:rPr>
                <w:rFonts w:hint="eastAsia" w:ascii="Times New Roman" w:hAnsi="Times New Roman" w:cs="Times New Roman"/>
                <w:color w:val="auto"/>
                <w:sz w:val="21"/>
                <w:szCs w:val="21"/>
                <w:highlight w:val="none"/>
                <w:lang w:val="en-US" w:eastAsia="zh-CN"/>
              </w:rPr>
              <w:t>5</w:t>
            </w:r>
            <w:r>
              <w:rPr>
                <w:rFonts w:ascii="Times New Roman" w:hAnsi="Times New Roman" w:cs="Times New Roman"/>
                <w:color w:val="auto"/>
                <w:sz w:val="21"/>
                <w:szCs w:val="21"/>
                <w:highlight w:val="none"/>
                <w:lang w:eastAsia="zh-CN"/>
              </w:rPr>
              <w:t>年内扰动区域内的土壤</w:t>
            </w:r>
            <w:r>
              <w:rPr>
                <w:rFonts w:hint="eastAsia" w:ascii="Times New Roman" w:hAnsi="Times New Roman" w:cs="Times New Roman"/>
                <w:color w:val="auto"/>
                <w:sz w:val="21"/>
                <w:szCs w:val="21"/>
                <w:highlight w:val="none"/>
                <w:lang w:eastAsia="zh-CN"/>
              </w:rPr>
              <w:t>水土</w:t>
            </w:r>
            <w:r>
              <w:rPr>
                <w:rFonts w:ascii="Times New Roman" w:hAnsi="Times New Roman" w:cs="Times New Roman"/>
                <w:color w:val="auto"/>
                <w:sz w:val="21"/>
                <w:szCs w:val="21"/>
                <w:highlight w:val="none"/>
                <w:lang w:eastAsia="zh-CN"/>
              </w:rPr>
              <w:t>流失可基本趋于稳定。</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②水土流失预测区域</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本项目扰动原地貌区域主要为开采区，占地面积为</w:t>
            </w:r>
            <w:r>
              <w:rPr>
                <w:rFonts w:hint="eastAsia" w:ascii="Times New Roman" w:hAnsi="Times New Roman" w:cs="Times New Roman"/>
                <w:color w:val="auto"/>
                <w:sz w:val="21"/>
                <w:szCs w:val="21"/>
                <w:highlight w:val="none"/>
                <w:lang w:val="en-US" w:eastAsia="zh-CN"/>
              </w:rPr>
              <w:t>22600</w:t>
            </w:r>
            <w:r>
              <w:rPr>
                <w:rFonts w:ascii="Times New Roman" w:hAnsi="Times New Roman" w:cs="Times New Roman"/>
                <w:color w:val="auto"/>
                <w:sz w:val="21"/>
                <w:szCs w:val="21"/>
                <w:highlight w:val="none"/>
                <w:lang w:eastAsia="zh-CN"/>
              </w:rPr>
              <w:t>m²。</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③水土流失预测</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通过实地勘察，结合项目初步设计报告及相关资料，了解项目建设对地表、植被的扰动情况，根据《生产建设项目水土保持技术标准》（</w:t>
            </w:r>
            <w:r>
              <w:rPr>
                <w:rFonts w:ascii="Times New Roman" w:hAnsi="Times New Roman" w:cs="Times New Roman"/>
                <w:color w:val="auto"/>
                <w:sz w:val="21"/>
                <w:szCs w:val="21"/>
                <w:highlight w:val="none"/>
                <w:lang w:eastAsia="zh-CN"/>
              </w:rPr>
              <w:t>GB50433-2018）规定，对工程建设造成的新增水土流失量，采用数学模型及有关水保部门提供的观测资料分析相结合的方法进行预测。</w:t>
            </w:r>
            <w:r>
              <w:rPr>
                <w:rFonts w:hint="eastAsia" w:ascii="Times New Roman" w:hAnsi="Times New Roman" w:cs="Times New Roman"/>
                <w:color w:val="auto"/>
                <w:sz w:val="21"/>
                <w:szCs w:val="21"/>
                <w:highlight w:val="none"/>
                <w:lang w:eastAsia="zh-CN"/>
              </w:rPr>
              <w:t>预测公式如下：</w:t>
            </w:r>
          </w:p>
          <w:p>
            <w:pPr>
              <w:autoSpaceDE/>
              <w:autoSpaceDN/>
              <w:adjustRightInd w:val="0"/>
              <w:snapToGrid w:val="0"/>
              <w:spacing w:line="360" w:lineRule="auto"/>
              <w:jc w:val="center"/>
              <w:rPr>
                <w:rFonts w:ascii="Times New Roman" w:hAnsi="Times New Roman" w:eastAsia="仿宋" w:cs="Times New Roman"/>
                <w:color w:val="auto"/>
                <w:kern w:val="2"/>
                <w:sz w:val="21"/>
                <w:szCs w:val="21"/>
                <w:highlight w:val="none"/>
                <w:lang w:eastAsia="zh-CN"/>
              </w:rPr>
            </w:pPr>
          </w:p>
          <w:p>
            <w:pPr>
              <w:autoSpaceDE/>
              <w:autoSpaceDN/>
              <w:adjustRightInd w:val="0"/>
              <w:snapToGrid w:val="0"/>
              <w:spacing w:line="360" w:lineRule="auto"/>
              <w:jc w:val="center"/>
              <w:rPr>
                <w:rFonts w:ascii="Times New Roman" w:hAnsi="Times New Roman" w:eastAsia="仿宋" w:cs="Times New Roman"/>
                <w:color w:val="auto"/>
                <w:kern w:val="2"/>
                <w:sz w:val="21"/>
                <w:szCs w:val="21"/>
                <w:highlight w:val="none"/>
                <w:lang w:eastAsia="zh-CN"/>
              </w:rPr>
            </w:pPr>
          </w:p>
          <w:p>
            <w:pPr>
              <w:autoSpaceDE/>
              <w:autoSpaceDN/>
              <w:spacing w:line="360" w:lineRule="auto"/>
              <w:ind w:firstLine="420" w:firstLineChars="200"/>
              <w:jc w:val="both"/>
              <w:rPr>
                <w:rFonts w:ascii="Times New Roman" w:hAnsi="Times New Roman" w:cs="Times New Roman"/>
                <w:color w:val="auto"/>
                <w:kern w:val="2"/>
                <w:sz w:val="21"/>
                <w:szCs w:val="21"/>
                <w:highlight w:val="none"/>
                <w:lang w:eastAsia="zh-CN"/>
              </w:rPr>
            </w:pPr>
            <w:r>
              <w:rPr>
                <w:rFonts w:ascii="Times New Roman" w:hAnsi="Times New Roman" w:cs="Times New Roman"/>
                <w:color w:val="auto"/>
                <w:kern w:val="2"/>
                <w:sz w:val="21"/>
                <w:szCs w:val="21"/>
                <w:highlight w:val="none"/>
                <w:lang w:eastAsia="zh-CN"/>
              </w:rPr>
              <w:t>式中：W——土壤流失量，t；</w:t>
            </w:r>
          </w:p>
          <w:p>
            <w:pPr>
              <w:autoSpaceDE/>
              <w:autoSpaceDN/>
              <w:spacing w:line="360" w:lineRule="auto"/>
              <w:ind w:firstLine="1050" w:firstLineChars="500"/>
              <w:jc w:val="both"/>
              <w:rPr>
                <w:rFonts w:ascii="Times New Roman" w:hAnsi="Times New Roman" w:cs="Times New Roman"/>
                <w:color w:val="auto"/>
                <w:kern w:val="2"/>
                <w:sz w:val="21"/>
                <w:szCs w:val="21"/>
                <w:highlight w:val="none"/>
                <w:lang w:eastAsia="zh-CN"/>
              </w:rPr>
            </w:pPr>
            <w:r>
              <w:rPr>
                <w:rFonts w:hint="eastAsia"/>
                <w:color w:val="auto"/>
                <w:kern w:val="2"/>
                <w:sz w:val="21"/>
                <w:szCs w:val="21"/>
                <w:highlight w:val="none"/>
                <w:lang w:eastAsia="zh-CN"/>
              </w:rPr>
              <w:t>△</w:t>
            </w:r>
            <w:r>
              <w:rPr>
                <w:rFonts w:ascii="Times New Roman" w:hAnsi="Times New Roman" w:cs="Times New Roman"/>
                <w:color w:val="auto"/>
                <w:kern w:val="2"/>
                <w:sz w:val="21"/>
                <w:szCs w:val="21"/>
                <w:highlight w:val="none"/>
                <w:lang w:eastAsia="zh-CN"/>
              </w:rPr>
              <w:t>W——扰动地表新增土壤流失量，t；</w:t>
            </w:r>
          </w:p>
          <w:p>
            <w:pPr>
              <w:autoSpaceDE/>
              <w:autoSpaceDN/>
              <w:spacing w:line="360" w:lineRule="auto"/>
              <w:ind w:firstLine="1050" w:firstLineChars="500"/>
              <w:jc w:val="both"/>
              <w:rPr>
                <w:rFonts w:ascii="Times New Roman" w:hAnsi="Times New Roman" w:cs="Times New Roman"/>
                <w:color w:val="auto"/>
                <w:kern w:val="2"/>
                <w:sz w:val="21"/>
                <w:szCs w:val="21"/>
                <w:highlight w:val="none"/>
                <w:lang w:eastAsia="zh-CN"/>
              </w:rPr>
            </w:pPr>
            <w:r>
              <w:rPr>
                <w:rFonts w:ascii="Times New Roman" w:hAnsi="Times New Roman" w:cs="Times New Roman"/>
                <w:color w:val="auto"/>
                <w:kern w:val="2"/>
                <w:sz w:val="21"/>
                <w:szCs w:val="21"/>
                <w:highlight w:val="none"/>
                <w:lang w:eastAsia="zh-CN"/>
              </w:rPr>
              <w:t>F</w:t>
            </w:r>
            <w:r>
              <w:rPr>
                <w:rFonts w:ascii="Times New Roman" w:hAnsi="Times New Roman" w:cs="Times New Roman"/>
                <w:color w:val="auto"/>
                <w:kern w:val="2"/>
                <w:sz w:val="21"/>
                <w:szCs w:val="21"/>
                <w:highlight w:val="none"/>
                <w:vertAlign w:val="subscript"/>
                <w:lang w:eastAsia="zh-CN"/>
              </w:rPr>
              <w:t>i</w:t>
            </w:r>
            <w:r>
              <w:rPr>
                <w:rFonts w:ascii="Times New Roman" w:hAnsi="Times New Roman" w:cs="Times New Roman"/>
                <w:color w:val="auto"/>
                <w:kern w:val="2"/>
                <w:sz w:val="21"/>
                <w:szCs w:val="21"/>
                <w:highlight w:val="none"/>
                <w:lang w:eastAsia="zh-CN"/>
              </w:rPr>
              <w:t>——第i各调查单元的面积（扰动面积），km</w:t>
            </w:r>
            <w:r>
              <w:rPr>
                <w:rFonts w:ascii="Times New Roman" w:hAnsi="Times New Roman" w:cs="Times New Roman"/>
                <w:color w:val="auto"/>
                <w:kern w:val="2"/>
                <w:sz w:val="21"/>
                <w:szCs w:val="21"/>
                <w:highlight w:val="none"/>
                <w:vertAlign w:val="superscript"/>
                <w:lang w:eastAsia="zh-CN"/>
              </w:rPr>
              <w:t>2</w:t>
            </w:r>
            <w:r>
              <w:rPr>
                <w:rFonts w:ascii="Times New Roman" w:hAnsi="Times New Roman" w:cs="Times New Roman"/>
                <w:color w:val="auto"/>
                <w:kern w:val="2"/>
                <w:sz w:val="21"/>
                <w:szCs w:val="21"/>
                <w:highlight w:val="none"/>
                <w:lang w:eastAsia="zh-CN"/>
              </w:rPr>
              <w:t>；</w:t>
            </w:r>
          </w:p>
          <w:p>
            <w:pPr>
              <w:autoSpaceDE/>
              <w:autoSpaceDN/>
              <w:spacing w:line="360" w:lineRule="auto"/>
              <w:ind w:firstLine="1050" w:firstLineChars="500"/>
              <w:jc w:val="both"/>
              <w:rPr>
                <w:rFonts w:ascii="Times New Roman" w:hAnsi="Times New Roman" w:cs="Times New Roman"/>
                <w:color w:val="auto"/>
                <w:kern w:val="2"/>
                <w:sz w:val="21"/>
                <w:szCs w:val="21"/>
                <w:highlight w:val="none"/>
                <w:lang w:eastAsia="zh-CN"/>
              </w:rPr>
            </w:pPr>
            <w:r>
              <w:rPr>
                <w:rFonts w:ascii="Times New Roman" w:hAnsi="Times New Roman" w:cs="Times New Roman"/>
                <w:color w:val="auto"/>
                <w:kern w:val="2"/>
                <w:sz w:val="21"/>
                <w:szCs w:val="21"/>
                <w:highlight w:val="none"/>
                <w:lang w:eastAsia="zh-CN"/>
              </w:rPr>
              <w:t>M</w:t>
            </w:r>
            <w:r>
              <w:rPr>
                <w:rFonts w:ascii="Times New Roman" w:hAnsi="Times New Roman" w:cs="Times New Roman"/>
                <w:color w:val="auto"/>
                <w:kern w:val="2"/>
                <w:sz w:val="21"/>
                <w:szCs w:val="21"/>
                <w:highlight w:val="none"/>
                <w:vertAlign w:val="subscript"/>
                <w:lang w:eastAsia="zh-CN"/>
              </w:rPr>
              <w:t>i</w:t>
            </w:r>
            <w:r>
              <w:rPr>
                <w:rFonts w:ascii="Times New Roman" w:hAnsi="Times New Roman" w:cs="Times New Roman"/>
                <w:color w:val="auto"/>
                <w:kern w:val="2"/>
                <w:sz w:val="21"/>
                <w:szCs w:val="21"/>
                <w:highlight w:val="none"/>
                <w:lang w:eastAsia="zh-CN"/>
              </w:rPr>
              <w:t>k——某时段某单元的土壤侵蚀模数，t/（km²·a）；</w:t>
            </w:r>
          </w:p>
          <w:p>
            <w:pPr>
              <w:autoSpaceDE/>
              <w:autoSpaceDN/>
              <w:spacing w:line="360" w:lineRule="auto"/>
              <w:ind w:firstLine="945" w:firstLineChars="450"/>
              <w:jc w:val="both"/>
              <w:rPr>
                <w:rFonts w:ascii="Times New Roman" w:hAnsi="Times New Roman" w:cs="Times New Roman"/>
                <w:color w:val="auto"/>
                <w:kern w:val="2"/>
                <w:sz w:val="21"/>
                <w:szCs w:val="21"/>
                <w:highlight w:val="none"/>
                <w:lang w:eastAsia="zh-CN"/>
              </w:rPr>
            </w:pPr>
            <w:r>
              <w:rPr>
                <w:rFonts w:hint="eastAsia"/>
                <w:color w:val="auto"/>
                <w:kern w:val="2"/>
                <w:sz w:val="21"/>
                <w:szCs w:val="21"/>
                <w:highlight w:val="none"/>
                <w:lang w:eastAsia="zh-CN"/>
              </w:rPr>
              <w:t>△</w:t>
            </w:r>
            <w:r>
              <w:rPr>
                <w:rFonts w:ascii="Times New Roman" w:hAnsi="Times New Roman" w:cs="Times New Roman"/>
                <w:color w:val="auto"/>
                <w:kern w:val="2"/>
                <w:sz w:val="21"/>
                <w:szCs w:val="21"/>
                <w:highlight w:val="none"/>
                <w:lang w:eastAsia="zh-CN"/>
              </w:rPr>
              <w:t>M</w:t>
            </w:r>
            <w:r>
              <w:rPr>
                <w:rFonts w:ascii="Times New Roman" w:hAnsi="Times New Roman" w:cs="Times New Roman"/>
                <w:color w:val="auto"/>
                <w:kern w:val="2"/>
                <w:sz w:val="21"/>
                <w:szCs w:val="21"/>
                <w:highlight w:val="none"/>
                <w:vertAlign w:val="subscript"/>
                <w:lang w:eastAsia="zh-CN"/>
              </w:rPr>
              <w:t>i</w:t>
            </w:r>
            <w:r>
              <w:rPr>
                <w:rFonts w:ascii="Times New Roman" w:hAnsi="Times New Roman" w:cs="Times New Roman"/>
                <w:color w:val="auto"/>
                <w:kern w:val="2"/>
                <w:sz w:val="21"/>
                <w:szCs w:val="21"/>
                <w:highlight w:val="none"/>
                <w:lang w:eastAsia="zh-CN"/>
              </w:rPr>
              <w:t>k——某时段某单元的新增土壤侵蚀模数，t/（km²·a），只计正值，负值按0计；</w:t>
            </w:r>
          </w:p>
          <w:p>
            <w:pPr>
              <w:autoSpaceDE/>
              <w:autoSpaceDN/>
              <w:spacing w:line="360" w:lineRule="auto"/>
              <w:ind w:firstLine="945" w:firstLineChars="450"/>
              <w:jc w:val="both"/>
              <w:rPr>
                <w:rFonts w:ascii="Times New Roman" w:hAnsi="Times New Roman" w:cs="Times New Roman"/>
                <w:color w:val="auto"/>
                <w:kern w:val="2"/>
                <w:sz w:val="21"/>
                <w:szCs w:val="21"/>
                <w:highlight w:val="none"/>
                <w:lang w:eastAsia="zh-CN"/>
              </w:rPr>
            </w:pPr>
            <w:r>
              <w:rPr>
                <w:rFonts w:ascii="Times New Roman" w:hAnsi="Times New Roman" w:cs="Times New Roman"/>
                <w:color w:val="auto"/>
                <w:kern w:val="2"/>
                <w:sz w:val="21"/>
                <w:szCs w:val="21"/>
                <w:highlight w:val="none"/>
                <w:lang w:eastAsia="zh-CN"/>
              </w:rPr>
              <w:t>T</w:t>
            </w:r>
            <w:r>
              <w:rPr>
                <w:rFonts w:ascii="Times New Roman" w:hAnsi="Times New Roman" w:cs="Times New Roman"/>
                <w:color w:val="auto"/>
                <w:kern w:val="2"/>
                <w:sz w:val="21"/>
                <w:szCs w:val="21"/>
                <w:highlight w:val="none"/>
                <w:vertAlign w:val="subscript"/>
                <w:lang w:eastAsia="zh-CN"/>
              </w:rPr>
              <w:t>i</w:t>
            </w:r>
            <w:r>
              <w:rPr>
                <w:rFonts w:ascii="Times New Roman" w:hAnsi="Times New Roman" w:cs="Times New Roman"/>
                <w:color w:val="auto"/>
                <w:kern w:val="2"/>
                <w:sz w:val="21"/>
                <w:szCs w:val="21"/>
                <w:highlight w:val="none"/>
                <w:lang w:eastAsia="zh-CN"/>
              </w:rPr>
              <w:t>k——某时段某单元的调查时间，a；</w:t>
            </w:r>
          </w:p>
          <w:p>
            <w:pPr>
              <w:autoSpaceDE/>
              <w:autoSpaceDN/>
              <w:spacing w:line="360" w:lineRule="auto"/>
              <w:ind w:firstLine="1155" w:firstLineChars="550"/>
              <w:jc w:val="both"/>
              <w:rPr>
                <w:rFonts w:ascii="Times New Roman" w:hAnsi="Times New Roman" w:cs="Times New Roman"/>
                <w:color w:val="auto"/>
                <w:kern w:val="2"/>
                <w:sz w:val="21"/>
                <w:szCs w:val="21"/>
                <w:highlight w:val="none"/>
                <w:lang w:eastAsia="zh-CN"/>
              </w:rPr>
            </w:pPr>
            <w:r>
              <w:rPr>
                <w:rFonts w:ascii="Times New Roman" w:hAnsi="Times New Roman" w:cs="Times New Roman"/>
                <w:color w:val="auto"/>
                <w:kern w:val="2"/>
                <w:sz w:val="21"/>
                <w:szCs w:val="21"/>
                <w:highlight w:val="none"/>
                <w:lang w:eastAsia="zh-CN"/>
              </w:rPr>
              <w:t>I——调查单元，i=1、2、3……、n-1、n；</w:t>
            </w:r>
          </w:p>
          <w:p>
            <w:pPr>
              <w:autoSpaceDE/>
              <w:autoSpaceDN/>
              <w:spacing w:line="360" w:lineRule="auto"/>
              <w:ind w:firstLine="1155" w:firstLineChars="550"/>
              <w:jc w:val="both"/>
              <w:rPr>
                <w:rFonts w:ascii="Times New Roman" w:hAnsi="Times New Roman" w:cs="Times New Roman"/>
                <w:color w:val="auto"/>
                <w:kern w:val="2"/>
                <w:sz w:val="21"/>
                <w:szCs w:val="21"/>
                <w:highlight w:val="none"/>
                <w:lang w:eastAsia="zh-CN"/>
              </w:rPr>
            </w:pPr>
            <w:r>
              <w:rPr>
                <w:rFonts w:ascii="Times New Roman" w:hAnsi="Times New Roman" w:cs="Times New Roman"/>
                <w:color w:val="auto"/>
                <w:kern w:val="2"/>
                <w:sz w:val="21"/>
                <w:szCs w:val="21"/>
                <w:highlight w:val="none"/>
                <w:lang w:eastAsia="zh-CN"/>
              </w:rPr>
              <w:t>k——调查时段，k=1、2、3，指施工准备期、施工期和自然恢复期。</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a）水土流失侵蚀模数确定</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项目区属于水力侵蚀区，根据《水利部办公厅关于印发〈</w:t>
            </w:r>
            <w:r>
              <w:rPr>
                <w:rFonts w:ascii="Times New Roman" w:hAnsi="Times New Roman" w:cs="Times New Roman"/>
                <w:color w:val="auto"/>
                <w:sz w:val="21"/>
                <w:szCs w:val="21"/>
                <w:highlight w:val="none"/>
                <w:lang w:eastAsia="zh-CN"/>
              </w:rPr>
              <w:t>全国水土流失规划国家级水土流失重点预防区和重点治理区复核成果</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的通知》（办水保〔2013〕188号）、《新疆自治区级水土流失重点预防区和重点治理区复核划分成果》（新水水保[2019]4号），本项目所在行政区</w:t>
            </w:r>
            <w:r>
              <w:rPr>
                <w:rFonts w:hint="eastAsia" w:ascii="Times New Roman" w:hAnsi="Times New Roman" w:cs="Times New Roman"/>
                <w:color w:val="auto"/>
                <w:sz w:val="21"/>
                <w:szCs w:val="21"/>
                <w:highlight w:val="none"/>
                <w:lang w:eastAsia="zh-CN"/>
              </w:rPr>
              <w:t>新源县塔勒德镇</w:t>
            </w:r>
            <w:r>
              <w:rPr>
                <w:rFonts w:ascii="Times New Roman" w:hAnsi="Times New Roman" w:cs="Times New Roman"/>
                <w:color w:val="auto"/>
                <w:sz w:val="21"/>
                <w:szCs w:val="21"/>
                <w:highlight w:val="none"/>
                <w:lang w:eastAsia="zh-CN"/>
              </w:rPr>
              <w:t>属于“</w:t>
            </w:r>
            <w:bookmarkStart w:id="2" w:name="_GoBack"/>
            <w:r>
              <w:rPr>
                <w:rFonts w:ascii="Times New Roman" w:hAnsi="Times New Roman" w:cs="Times New Roman"/>
                <w:color w:val="auto"/>
                <w:sz w:val="21"/>
                <w:szCs w:val="21"/>
                <w:highlight w:val="none"/>
                <w:lang w:eastAsia="zh-CN"/>
              </w:rPr>
              <w:t>新疆</w:t>
            </w:r>
            <w:bookmarkEnd w:id="2"/>
            <w:r>
              <w:rPr>
                <w:rFonts w:ascii="Times New Roman" w:hAnsi="Times New Roman" w:cs="Times New Roman"/>
                <w:color w:val="auto"/>
                <w:sz w:val="21"/>
                <w:szCs w:val="21"/>
                <w:highlight w:val="none"/>
                <w:lang w:eastAsia="zh-CN"/>
              </w:rPr>
              <w:t>维吾尔自治区级水土流失重点治理区”。</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依据《生产建设项目水土保持技术标准》（</w:t>
            </w:r>
            <w:r>
              <w:rPr>
                <w:rFonts w:ascii="Times New Roman" w:hAnsi="Times New Roman" w:cs="Times New Roman"/>
                <w:color w:val="auto"/>
                <w:sz w:val="21"/>
                <w:szCs w:val="21"/>
                <w:highlight w:val="none"/>
                <w:lang w:eastAsia="zh-CN"/>
              </w:rPr>
              <w:t>GB50433-2018）规定，根据《伊犁河流域水土保持综合治理规划报告</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伊犁州土壤侵蚀现状图》及项目区的地形地貌、植被、土壤、风速、降雨等水土流失影响因子，确定项目区</w:t>
            </w:r>
            <w:r>
              <w:rPr>
                <w:rFonts w:hint="eastAsia" w:ascii="Times New Roman" w:hAnsi="Times New Roman" w:cs="Times New Roman"/>
                <w:color w:val="auto"/>
                <w:sz w:val="21"/>
                <w:szCs w:val="21"/>
                <w:highlight w:val="none"/>
                <w:lang w:eastAsia="zh-CN"/>
              </w:rPr>
              <w:t>水土流失侵蚀模数为：土壤侵蚀模数背景值为</w:t>
            </w:r>
            <w:r>
              <w:rPr>
                <w:rFonts w:ascii="Times New Roman" w:hAnsi="Times New Roman" w:cs="Times New Roman"/>
                <w:color w:val="auto"/>
                <w:sz w:val="21"/>
                <w:szCs w:val="21"/>
                <w:highlight w:val="none"/>
                <w:lang w:eastAsia="zh-CN"/>
              </w:rPr>
              <w:t>1000t/（km</w:t>
            </w:r>
            <w:r>
              <w:rPr>
                <w:rFonts w:ascii="Times New Roman" w:hAnsi="Times New Roman" w:cs="Times New Roman"/>
                <w:color w:val="auto"/>
                <w:sz w:val="21"/>
                <w:szCs w:val="21"/>
                <w:highlight w:val="none"/>
                <w:vertAlign w:val="superscript"/>
                <w:lang w:eastAsia="zh-CN"/>
              </w:rPr>
              <w:t>2</w:t>
            </w:r>
            <w:r>
              <w:rPr>
                <w:rFonts w:ascii="Times New Roman" w:hAnsi="Times New Roman" w:cs="Times New Roman"/>
                <w:color w:val="auto"/>
                <w:sz w:val="21"/>
                <w:szCs w:val="21"/>
                <w:highlight w:val="none"/>
                <w:lang w:eastAsia="zh-CN"/>
              </w:rPr>
              <w:t>·a），</w:t>
            </w:r>
            <w:r>
              <w:rPr>
                <w:rFonts w:hint="eastAsia" w:ascii="Times New Roman" w:hAnsi="Times New Roman" w:cs="Times New Roman"/>
                <w:color w:val="auto"/>
                <w:sz w:val="21"/>
                <w:szCs w:val="21"/>
                <w:highlight w:val="none"/>
                <w:lang w:eastAsia="zh-CN"/>
              </w:rPr>
              <w:t>容许土壤流失量为</w:t>
            </w:r>
            <w:r>
              <w:rPr>
                <w:rFonts w:ascii="Times New Roman" w:hAnsi="Times New Roman" w:cs="Times New Roman"/>
                <w:color w:val="auto"/>
                <w:sz w:val="21"/>
                <w:szCs w:val="21"/>
                <w:highlight w:val="none"/>
                <w:lang w:eastAsia="zh-CN"/>
              </w:rPr>
              <w:t>1000t/（km</w:t>
            </w:r>
            <w:r>
              <w:rPr>
                <w:rFonts w:ascii="Times New Roman" w:hAnsi="Times New Roman" w:cs="Times New Roman"/>
                <w:color w:val="auto"/>
                <w:sz w:val="21"/>
                <w:szCs w:val="21"/>
                <w:highlight w:val="none"/>
                <w:vertAlign w:val="superscript"/>
                <w:lang w:eastAsia="zh-CN"/>
              </w:rPr>
              <w:t>2</w:t>
            </w:r>
            <w:r>
              <w:rPr>
                <w:rFonts w:ascii="Times New Roman" w:hAnsi="Times New Roman" w:cs="Times New Roman"/>
                <w:color w:val="auto"/>
                <w:sz w:val="21"/>
                <w:szCs w:val="21"/>
                <w:highlight w:val="none"/>
                <w:lang w:eastAsia="zh-CN"/>
              </w:rPr>
              <w:t>·a）</w:t>
            </w:r>
            <w:r>
              <w:rPr>
                <w:rFonts w:hint="eastAsia" w:ascii="Times New Roman" w:hAnsi="Times New Roman" w:cs="Times New Roman"/>
                <w:color w:val="auto"/>
                <w:sz w:val="21"/>
                <w:szCs w:val="21"/>
                <w:highlight w:val="none"/>
                <w:lang w:eastAsia="zh-CN"/>
              </w:rPr>
              <w:t>扰动后土壤侵蚀模数为</w:t>
            </w:r>
            <w:r>
              <w:rPr>
                <w:rFonts w:ascii="Times New Roman" w:hAnsi="Times New Roman" w:cs="Times New Roman"/>
                <w:color w:val="auto"/>
                <w:sz w:val="21"/>
                <w:szCs w:val="21"/>
                <w:highlight w:val="none"/>
                <w:lang w:eastAsia="zh-CN"/>
              </w:rPr>
              <w:t>5000t/（km</w:t>
            </w:r>
            <w:r>
              <w:rPr>
                <w:rFonts w:ascii="Times New Roman" w:hAnsi="Times New Roman" w:cs="Times New Roman"/>
                <w:color w:val="auto"/>
                <w:sz w:val="21"/>
                <w:szCs w:val="21"/>
                <w:highlight w:val="none"/>
                <w:vertAlign w:val="superscript"/>
                <w:lang w:eastAsia="zh-CN"/>
              </w:rPr>
              <w:t>2</w:t>
            </w:r>
            <w:r>
              <w:rPr>
                <w:rFonts w:ascii="Times New Roman" w:hAnsi="Times New Roman" w:cs="Times New Roman"/>
                <w:color w:val="auto"/>
                <w:sz w:val="21"/>
                <w:szCs w:val="21"/>
                <w:highlight w:val="none"/>
                <w:lang w:eastAsia="zh-CN"/>
              </w:rPr>
              <w:t>·a）</w:t>
            </w:r>
            <w:r>
              <w:rPr>
                <w:rFonts w:hint="eastAsia" w:ascii="Times New Roman" w:hAnsi="Times New Roman" w:cs="Times New Roman"/>
                <w:color w:val="auto"/>
                <w:sz w:val="21"/>
                <w:szCs w:val="21"/>
                <w:highlight w:val="none"/>
                <w:lang w:eastAsia="zh-CN"/>
              </w:rPr>
              <w:t>。</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b）水土流失预测</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本项目水土流失预测结果见表</w:t>
            </w:r>
            <w:r>
              <w:rPr>
                <w:rFonts w:hint="eastAsia" w:ascii="Times New Roman" w:hAnsi="Times New Roman" w:cs="Times New Roman"/>
                <w:color w:val="auto"/>
                <w:sz w:val="21"/>
                <w:szCs w:val="21"/>
                <w:highlight w:val="none"/>
                <w:lang w:val="en-US" w:eastAsia="zh-CN"/>
              </w:rPr>
              <w:t>4-9</w:t>
            </w:r>
            <w:r>
              <w:rPr>
                <w:rFonts w:ascii="Times New Roman" w:hAnsi="Times New Roman" w:cs="Times New Roman"/>
                <w:color w:val="auto"/>
                <w:sz w:val="21"/>
                <w:szCs w:val="21"/>
                <w:highlight w:val="none"/>
                <w:lang w:eastAsia="zh-CN"/>
              </w:rPr>
              <w:t>。</w:t>
            </w:r>
          </w:p>
          <w:p>
            <w:pPr>
              <w:pStyle w:val="18"/>
              <w:jc w:val="center"/>
              <w:rPr>
                <w:rFonts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表</w:t>
            </w:r>
            <w:r>
              <w:rPr>
                <w:rFonts w:hint="eastAsia" w:ascii="Times New Roman" w:hAnsi="Times New Roman" w:cs="Times New Roman"/>
                <w:b/>
                <w:bCs/>
                <w:color w:val="auto"/>
                <w:sz w:val="21"/>
                <w:szCs w:val="21"/>
                <w:highlight w:val="none"/>
                <w:lang w:val="en-US" w:eastAsia="zh-CN"/>
              </w:rPr>
              <w:t>4-9</w:t>
            </w:r>
            <w:r>
              <w:rPr>
                <w:rFonts w:ascii="Times New Roman" w:hAnsi="Times New Roman" w:cs="Times New Roman"/>
                <w:b/>
                <w:bCs/>
                <w:color w:val="auto"/>
                <w:sz w:val="21"/>
                <w:szCs w:val="21"/>
                <w:highlight w:val="none"/>
                <w:lang w:eastAsia="zh-CN"/>
              </w:rPr>
              <w:t xml:space="preserve">    本项目水土流失预测结果</w:t>
            </w:r>
          </w:p>
          <w:tbl>
            <w:tblPr>
              <w:tblStyle w:val="14"/>
              <w:tblW w:w="84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4"/>
              <w:gridCol w:w="800"/>
              <w:gridCol w:w="1135"/>
              <w:gridCol w:w="1410"/>
              <w:gridCol w:w="1047"/>
              <w:gridCol w:w="865"/>
              <w:gridCol w:w="957"/>
              <w:gridCol w:w="957"/>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84" w:type="dxa"/>
                  <w:gridSpan w:val="2"/>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预测时段</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侵蚀背景值t/（km²·a）</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lang w:eastAsia="zh-CN"/>
                    </w:rPr>
                  </w:pPr>
                  <w:r>
                    <w:rPr>
                      <w:rFonts w:ascii="Times New Roman" w:hAnsi="Times New Roman" w:cs="Times New Roman"/>
                      <w:b/>
                      <w:bCs/>
                      <w:color w:val="auto"/>
                      <w:spacing w:val="-2"/>
                      <w:sz w:val="21"/>
                      <w:szCs w:val="21"/>
                      <w:highlight w:val="none"/>
                      <w:lang w:eastAsia="zh-CN"/>
                    </w:rPr>
                    <w:t>扰动后侵蚀模数t/（km²·a）</w:t>
                  </w:r>
                </w:p>
              </w:tc>
              <w:tc>
                <w:tcPr>
                  <w:tcW w:w="104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侵蚀面积（m²）</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预测</w:t>
                  </w:r>
                </w:p>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时段（a）</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背景</w:t>
                  </w:r>
                </w:p>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流失量（t）</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预测</w:t>
                  </w:r>
                </w:p>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流失量（t）</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新增</w:t>
                  </w:r>
                </w:p>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rPr>
                    <w:t>流失量（t）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84" w:type="dxa"/>
                  <w:gridSpan w:val="2"/>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lang w:eastAsia="zh-CN"/>
                    </w:rPr>
                    <w:t>采矿</w:t>
                  </w:r>
                  <w:r>
                    <w:rPr>
                      <w:rFonts w:ascii="Times New Roman" w:hAnsi="Times New Roman" w:cs="Times New Roman"/>
                      <w:color w:val="auto"/>
                      <w:spacing w:val="-2"/>
                      <w:sz w:val="21"/>
                      <w:szCs w:val="21"/>
                      <w:highlight w:val="none"/>
                    </w:rPr>
                    <w:t>期</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5000</w:t>
                  </w:r>
                </w:p>
              </w:tc>
              <w:tc>
                <w:tcPr>
                  <w:tcW w:w="1047" w:type="dxa"/>
                  <w:shd w:val="clear" w:color="auto" w:fill="auto"/>
                  <w:tcMar>
                    <w:top w:w="15" w:type="dxa"/>
                    <w:left w:w="15" w:type="dxa"/>
                    <w:right w:w="15" w:type="dxa"/>
                  </w:tcMar>
                  <w:vAlign w:val="center"/>
                </w:tcPr>
                <w:p>
                  <w:pPr>
                    <w:adjustRightInd w:val="0"/>
                    <w:snapToGrid w:val="0"/>
                    <w:jc w:val="center"/>
                    <w:rPr>
                      <w:rFonts w:hint="default" w:ascii="Times New Roman" w:hAnsi="Times New Roman" w:eastAsia="宋体" w:cs="Times New Roman"/>
                      <w:color w:val="auto"/>
                      <w:spacing w:val="-2"/>
                      <w:sz w:val="21"/>
                      <w:szCs w:val="21"/>
                      <w:highlight w:val="none"/>
                      <w:lang w:val="en-US" w:eastAsia="zh-CN"/>
                    </w:rPr>
                  </w:pPr>
                  <w:r>
                    <w:rPr>
                      <w:rFonts w:hint="eastAsia" w:ascii="Times New Roman" w:hAnsi="Times New Roman" w:cs="Times New Roman"/>
                      <w:color w:val="auto"/>
                      <w:spacing w:val="-2"/>
                      <w:sz w:val="21"/>
                      <w:szCs w:val="21"/>
                      <w:highlight w:val="none"/>
                      <w:lang w:val="en-US" w:eastAsia="zh-CN"/>
                    </w:rPr>
                    <w:t>22600</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ascii="Times New Roman" w:hAnsi="Times New Roman" w:cs="Times New Roman"/>
                      <w:color w:val="auto"/>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9</w:t>
                  </w:r>
                  <w:r>
                    <w:rPr>
                      <w:rFonts w:ascii="Times New Roman" w:hAnsi="Times New Roman" w:cs="Times New Roman"/>
                      <w:color w:val="auto"/>
                      <w:spacing w:val="-2"/>
                      <w:sz w:val="21"/>
                      <w:szCs w:val="21"/>
                      <w:highlight w:val="none"/>
                      <w:lang w:eastAsia="zh-CN"/>
                    </w:rPr>
                    <w:t>22.5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7</w:t>
                  </w:r>
                  <w:r>
                    <w:rPr>
                      <w:rFonts w:ascii="Times New Roman" w:hAnsi="Times New Roman" w:cs="Times New Roman"/>
                      <w:color w:val="auto"/>
                      <w:spacing w:val="-2"/>
                      <w:sz w:val="21"/>
                      <w:szCs w:val="21"/>
                      <w:highlight w:val="none"/>
                      <w:lang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restart"/>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自然恢复期</w:t>
                  </w: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第1年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3000</w:t>
                  </w:r>
                </w:p>
              </w:tc>
              <w:tc>
                <w:tcPr>
                  <w:tcW w:w="1047" w:type="dxa"/>
                  <w:vMerge w:val="restart"/>
                  <w:shd w:val="clear" w:color="auto" w:fill="auto"/>
                  <w:tcMar>
                    <w:top w:w="15" w:type="dxa"/>
                    <w:left w:w="15" w:type="dxa"/>
                    <w:right w:w="15" w:type="dxa"/>
                  </w:tcMar>
                  <w:vAlign w:val="center"/>
                </w:tcPr>
                <w:p>
                  <w:pPr>
                    <w:adjustRightInd w:val="0"/>
                    <w:snapToGrid w:val="0"/>
                    <w:jc w:val="center"/>
                    <w:rPr>
                      <w:rFonts w:hint="default" w:ascii="Times New Roman" w:hAnsi="Times New Roman" w:eastAsia="宋体" w:cs="Times New Roman"/>
                      <w:color w:val="auto"/>
                      <w:spacing w:val="-2"/>
                      <w:sz w:val="21"/>
                      <w:szCs w:val="21"/>
                      <w:highlight w:val="none"/>
                      <w:lang w:val="en-US" w:eastAsia="zh-CN"/>
                    </w:rPr>
                  </w:pPr>
                  <w:r>
                    <w:rPr>
                      <w:rFonts w:hint="eastAsia" w:ascii="Times New Roman" w:hAnsi="Times New Roman" w:cs="Times New Roman"/>
                      <w:color w:val="auto"/>
                      <w:spacing w:val="-2"/>
                      <w:sz w:val="21"/>
                      <w:szCs w:val="21"/>
                      <w:highlight w:val="none"/>
                      <w:lang w:val="en-US" w:eastAsia="zh-CN"/>
                    </w:rPr>
                    <w:t>22600</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w:t>
                  </w:r>
                </w:p>
              </w:tc>
              <w:tc>
                <w:tcPr>
                  <w:tcW w:w="957" w:type="dxa"/>
                  <w:shd w:val="clear" w:color="auto" w:fill="auto"/>
                  <w:tcMar>
                    <w:top w:w="15" w:type="dxa"/>
                    <w:left w:w="15" w:type="dxa"/>
                    <w:right w:w="15" w:type="dxa"/>
                  </w:tcMar>
                  <w:vAlign w:val="center"/>
                </w:tcPr>
                <w:p>
                  <w:pPr>
                    <w:jc w:val="center"/>
                    <w:rPr>
                      <w:color w:val="auto"/>
                      <w:sz w:val="21"/>
                      <w:szCs w:val="21"/>
                      <w:highlight w:val="none"/>
                    </w:rPr>
                  </w:pPr>
                  <w:r>
                    <w:rPr>
                      <w:rFonts w:ascii="Times New Roman" w:hAnsi="Times New Roman" w:cs="Times New Roman"/>
                      <w:color w:val="auto"/>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ascii="Times New Roman" w:hAnsi="Times New Roman" w:cs="Times New Roman"/>
                      <w:color w:val="auto"/>
                      <w:spacing w:val="-2"/>
                      <w:sz w:val="21"/>
                      <w:szCs w:val="21"/>
                      <w:highlight w:val="none"/>
                      <w:lang w:eastAsia="zh-CN"/>
                    </w:rPr>
                    <w:t>553.5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3</w:t>
                  </w:r>
                  <w:r>
                    <w:rPr>
                      <w:rFonts w:ascii="Times New Roman" w:hAnsi="Times New Roman" w:cs="Times New Roman"/>
                      <w:color w:val="auto"/>
                      <w:spacing w:val="-2"/>
                      <w:sz w:val="21"/>
                      <w:szCs w:val="21"/>
                      <w:highlight w:val="none"/>
                      <w:lang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第2年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2200</w:t>
                  </w:r>
                </w:p>
              </w:tc>
              <w:tc>
                <w:tcPr>
                  <w:tcW w:w="1047"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w:t>
                  </w:r>
                </w:p>
              </w:tc>
              <w:tc>
                <w:tcPr>
                  <w:tcW w:w="957" w:type="dxa"/>
                  <w:shd w:val="clear" w:color="auto" w:fill="auto"/>
                  <w:tcMar>
                    <w:top w:w="15" w:type="dxa"/>
                    <w:left w:w="15" w:type="dxa"/>
                    <w:right w:w="15" w:type="dxa"/>
                  </w:tcMar>
                  <w:vAlign w:val="center"/>
                </w:tcPr>
                <w:p>
                  <w:pPr>
                    <w:jc w:val="center"/>
                    <w:rPr>
                      <w:color w:val="auto"/>
                      <w:sz w:val="21"/>
                      <w:szCs w:val="21"/>
                      <w:highlight w:val="none"/>
                    </w:rPr>
                  </w:pPr>
                  <w:r>
                    <w:rPr>
                      <w:rFonts w:ascii="Times New Roman" w:hAnsi="Times New Roman" w:cs="Times New Roman"/>
                      <w:color w:val="auto"/>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4</w:t>
                  </w:r>
                  <w:r>
                    <w:rPr>
                      <w:rFonts w:ascii="Times New Roman" w:hAnsi="Times New Roman" w:cs="Times New Roman"/>
                      <w:color w:val="auto"/>
                      <w:spacing w:val="-2"/>
                      <w:sz w:val="21"/>
                      <w:szCs w:val="21"/>
                      <w:highlight w:val="none"/>
                      <w:lang w:eastAsia="zh-CN"/>
                    </w:rPr>
                    <w:t>05.9</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ascii="Times New Roman" w:hAnsi="Times New Roman" w:cs="Times New Roman"/>
                      <w:color w:val="auto"/>
                      <w:spacing w:val="-2"/>
                      <w:sz w:val="21"/>
                      <w:szCs w:val="21"/>
                      <w:highlight w:val="none"/>
                      <w:lang w:eastAsia="zh-CN"/>
                    </w:rPr>
                    <w:t>221.4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第3年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1600</w:t>
                  </w:r>
                </w:p>
              </w:tc>
              <w:tc>
                <w:tcPr>
                  <w:tcW w:w="1047"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w:t>
                  </w:r>
                </w:p>
              </w:tc>
              <w:tc>
                <w:tcPr>
                  <w:tcW w:w="957" w:type="dxa"/>
                  <w:shd w:val="clear" w:color="auto" w:fill="auto"/>
                  <w:tcMar>
                    <w:top w:w="15" w:type="dxa"/>
                    <w:left w:w="15" w:type="dxa"/>
                    <w:right w:w="15" w:type="dxa"/>
                  </w:tcMar>
                  <w:vAlign w:val="center"/>
                </w:tcPr>
                <w:p>
                  <w:pPr>
                    <w:jc w:val="center"/>
                    <w:rPr>
                      <w:color w:val="auto"/>
                      <w:sz w:val="21"/>
                      <w:szCs w:val="21"/>
                      <w:highlight w:val="none"/>
                    </w:rPr>
                  </w:pPr>
                  <w:r>
                    <w:rPr>
                      <w:rFonts w:ascii="Times New Roman" w:hAnsi="Times New Roman" w:cs="Times New Roman"/>
                      <w:color w:val="auto"/>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2</w:t>
                  </w:r>
                  <w:r>
                    <w:rPr>
                      <w:rFonts w:ascii="Times New Roman" w:hAnsi="Times New Roman" w:cs="Times New Roman"/>
                      <w:color w:val="auto"/>
                      <w:spacing w:val="-2"/>
                      <w:sz w:val="21"/>
                      <w:szCs w:val="21"/>
                      <w:highlight w:val="none"/>
                      <w:lang w:eastAsia="zh-CN"/>
                    </w:rPr>
                    <w:t>95.2</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1</w:t>
                  </w:r>
                  <w:r>
                    <w:rPr>
                      <w:rFonts w:ascii="Times New Roman" w:hAnsi="Times New Roman" w:cs="Times New Roman"/>
                      <w:color w:val="auto"/>
                      <w:spacing w:val="-2"/>
                      <w:sz w:val="21"/>
                      <w:szCs w:val="21"/>
                      <w:highlight w:val="none"/>
                      <w:lang w:eastAsia="zh-CN"/>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第4年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1200</w:t>
                  </w:r>
                </w:p>
              </w:tc>
              <w:tc>
                <w:tcPr>
                  <w:tcW w:w="1047"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w:t>
                  </w:r>
                </w:p>
              </w:tc>
              <w:tc>
                <w:tcPr>
                  <w:tcW w:w="957" w:type="dxa"/>
                  <w:shd w:val="clear" w:color="auto" w:fill="auto"/>
                  <w:tcMar>
                    <w:top w:w="15" w:type="dxa"/>
                    <w:left w:w="15" w:type="dxa"/>
                    <w:right w:w="15" w:type="dxa"/>
                  </w:tcMar>
                  <w:vAlign w:val="center"/>
                </w:tcPr>
                <w:p>
                  <w:pPr>
                    <w:jc w:val="center"/>
                    <w:rPr>
                      <w:color w:val="auto"/>
                      <w:sz w:val="21"/>
                      <w:szCs w:val="21"/>
                      <w:highlight w:val="none"/>
                    </w:rPr>
                  </w:pPr>
                  <w:r>
                    <w:rPr>
                      <w:rFonts w:ascii="Times New Roman" w:hAnsi="Times New Roman" w:cs="Times New Roman"/>
                      <w:color w:val="auto"/>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2</w:t>
                  </w:r>
                  <w:r>
                    <w:rPr>
                      <w:rFonts w:ascii="Times New Roman" w:hAnsi="Times New Roman" w:cs="Times New Roman"/>
                      <w:color w:val="auto"/>
                      <w:spacing w:val="-2"/>
                      <w:sz w:val="21"/>
                      <w:szCs w:val="21"/>
                      <w:highlight w:val="none"/>
                      <w:lang w:eastAsia="zh-CN"/>
                    </w:rPr>
                    <w:t>21.4</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3</w:t>
                  </w:r>
                  <w:r>
                    <w:rPr>
                      <w:rFonts w:ascii="Times New Roman" w:hAnsi="Times New Roman" w:cs="Times New Roman"/>
                      <w:color w:val="auto"/>
                      <w:spacing w:val="-2"/>
                      <w:sz w:val="21"/>
                      <w:szCs w:val="21"/>
                      <w:highlight w:val="none"/>
                      <w:lang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第5年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1000</w:t>
                  </w:r>
                </w:p>
              </w:tc>
              <w:tc>
                <w:tcPr>
                  <w:tcW w:w="1047"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r>
                    <w:rPr>
                      <w:rFonts w:ascii="Times New Roman" w:hAnsi="Times New Roman" w:cs="Times New Roman"/>
                      <w:color w:val="auto"/>
                      <w:spacing w:val="-2"/>
                      <w:sz w:val="21"/>
                      <w:szCs w:val="21"/>
                      <w:highlight w:val="none"/>
                    </w:rPr>
                    <w:t>1</w:t>
                  </w:r>
                </w:p>
              </w:tc>
              <w:tc>
                <w:tcPr>
                  <w:tcW w:w="957" w:type="dxa"/>
                  <w:shd w:val="clear" w:color="auto" w:fill="auto"/>
                  <w:tcMar>
                    <w:top w:w="15" w:type="dxa"/>
                    <w:left w:w="15" w:type="dxa"/>
                    <w:right w:w="15" w:type="dxa"/>
                  </w:tcMar>
                  <w:vAlign w:val="center"/>
                </w:tcPr>
                <w:p>
                  <w:pPr>
                    <w:jc w:val="center"/>
                    <w:rPr>
                      <w:color w:val="auto"/>
                      <w:sz w:val="21"/>
                      <w:szCs w:val="21"/>
                      <w:highlight w:val="none"/>
                    </w:rPr>
                  </w:pPr>
                  <w:r>
                    <w:rPr>
                      <w:rFonts w:ascii="Times New Roman" w:hAnsi="Times New Roman" w:cs="Times New Roman"/>
                      <w:color w:val="auto"/>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1</w:t>
                  </w:r>
                  <w:r>
                    <w:rPr>
                      <w:rFonts w:ascii="Times New Roman" w:hAnsi="Times New Roman" w:cs="Times New Roman"/>
                      <w:color w:val="auto"/>
                      <w:spacing w:val="-2"/>
                      <w:sz w:val="21"/>
                      <w:szCs w:val="21"/>
                      <w:highlight w:val="none"/>
                      <w:lang w:eastAsia="zh-CN"/>
                    </w:rPr>
                    <w:t>84.5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r>
                    <w:rPr>
                      <w:rFonts w:hint="eastAsia" w:ascii="Times New Roman" w:hAnsi="Times New Roman" w:cs="Times New Roman"/>
                      <w:color w:val="auto"/>
                      <w:spacing w:val="-2"/>
                      <w:sz w:val="21"/>
                      <w:szCs w:val="21"/>
                      <w:highlight w:val="none"/>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84" w:type="dxa"/>
                  <w:gridSpan w:val="2"/>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rPr>
                  </w:pPr>
                  <w:r>
                    <w:rPr>
                      <w:rFonts w:ascii="Times New Roman" w:hAnsi="Times New Roman" w:cs="Times New Roman"/>
                      <w:b/>
                      <w:bCs/>
                      <w:color w:val="auto"/>
                      <w:spacing w:val="-2"/>
                      <w:sz w:val="21"/>
                      <w:szCs w:val="21"/>
                      <w:highlight w:val="none"/>
                      <w:lang w:eastAsia="zh-CN"/>
                    </w:rPr>
                    <w:t>采矿</w:t>
                  </w:r>
                  <w:r>
                    <w:rPr>
                      <w:rFonts w:ascii="Times New Roman" w:hAnsi="Times New Roman" w:cs="Times New Roman"/>
                      <w:b/>
                      <w:bCs/>
                      <w:color w:val="auto"/>
                      <w:spacing w:val="-2"/>
                      <w:sz w:val="21"/>
                      <w:szCs w:val="21"/>
                      <w:highlight w:val="none"/>
                    </w:rPr>
                    <w:t>期</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1047" w:type="dxa"/>
                  <w:shd w:val="clear" w:color="auto" w:fill="auto"/>
                  <w:tcMar>
                    <w:top w:w="15" w:type="dxa"/>
                    <w:left w:w="15" w:type="dxa"/>
                    <w:right w:w="15" w:type="dxa"/>
                  </w:tcMar>
                  <w:vAlign w:val="center"/>
                </w:tcPr>
                <w:p>
                  <w:pPr>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cs="Times New Roman"/>
                      <w:b/>
                      <w:bCs/>
                      <w:color w:val="auto"/>
                      <w:spacing w:val="-2"/>
                      <w:sz w:val="21"/>
                      <w:szCs w:val="21"/>
                      <w:highlight w:val="none"/>
                      <w:lang w:val="en-US" w:eastAsia="zh-CN"/>
                    </w:rPr>
                    <w:t>22600</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rPr>
                  </w:pP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lang w:eastAsia="zh-CN"/>
                    </w:rPr>
                  </w:pPr>
                  <w:r>
                    <w:rPr>
                      <w:rFonts w:ascii="Times New Roman" w:hAnsi="Times New Roman" w:cs="Times New Roman"/>
                      <w:b/>
                      <w:bCs/>
                      <w:color w:val="auto"/>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lang w:eastAsia="zh-CN"/>
                    </w:rPr>
                  </w:pPr>
                  <w:r>
                    <w:rPr>
                      <w:rFonts w:hint="eastAsia" w:ascii="Times New Roman" w:hAnsi="Times New Roman" w:cs="Times New Roman"/>
                      <w:b/>
                      <w:bCs/>
                      <w:color w:val="auto"/>
                      <w:spacing w:val="-2"/>
                      <w:sz w:val="21"/>
                      <w:szCs w:val="21"/>
                      <w:highlight w:val="none"/>
                      <w:lang w:eastAsia="zh-CN"/>
                    </w:rPr>
                    <w:t>9</w:t>
                  </w:r>
                  <w:r>
                    <w:rPr>
                      <w:rFonts w:ascii="Times New Roman" w:hAnsi="Times New Roman" w:cs="Times New Roman"/>
                      <w:b/>
                      <w:bCs/>
                      <w:color w:val="auto"/>
                      <w:spacing w:val="-2"/>
                      <w:sz w:val="21"/>
                      <w:szCs w:val="21"/>
                      <w:highlight w:val="none"/>
                      <w:lang w:eastAsia="zh-CN"/>
                    </w:rPr>
                    <w:t>22.5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lang w:eastAsia="zh-CN"/>
                    </w:rPr>
                  </w:pPr>
                  <w:r>
                    <w:rPr>
                      <w:rFonts w:hint="eastAsia" w:ascii="Times New Roman" w:hAnsi="Times New Roman" w:cs="Times New Roman"/>
                      <w:b/>
                      <w:bCs/>
                      <w:color w:val="auto"/>
                      <w:spacing w:val="-2"/>
                      <w:sz w:val="21"/>
                      <w:szCs w:val="21"/>
                      <w:highlight w:val="none"/>
                      <w:lang w:eastAsia="zh-CN"/>
                    </w:rPr>
                    <w:t>7</w:t>
                  </w:r>
                  <w:r>
                    <w:rPr>
                      <w:rFonts w:ascii="Times New Roman" w:hAnsi="Times New Roman" w:cs="Times New Roman"/>
                      <w:b/>
                      <w:bCs/>
                      <w:color w:val="auto"/>
                      <w:spacing w:val="-2"/>
                      <w:sz w:val="21"/>
                      <w:szCs w:val="21"/>
                      <w:highlight w:val="none"/>
                      <w:lang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84" w:type="dxa"/>
                  <w:gridSpan w:val="2"/>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lang w:eastAsia="zh-CN"/>
                    </w:rPr>
                  </w:pPr>
                  <w:r>
                    <w:rPr>
                      <w:rFonts w:ascii="Times New Roman" w:hAnsi="Times New Roman" w:cs="Times New Roman"/>
                      <w:b/>
                      <w:bCs/>
                      <w:color w:val="auto"/>
                      <w:spacing w:val="-2"/>
                      <w:sz w:val="21"/>
                      <w:szCs w:val="21"/>
                      <w:highlight w:val="none"/>
                      <w:lang w:eastAsia="zh-CN"/>
                    </w:rPr>
                    <w:t>自然恢复期</w:t>
                  </w:r>
                </w:p>
                <w:p>
                  <w:pPr>
                    <w:adjustRightInd w:val="0"/>
                    <w:snapToGrid w:val="0"/>
                    <w:jc w:val="center"/>
                    <w:rPr>
                      <w:rFonts w:ascii="Times New Roman" w:hAnsi="Times New Roman" w:cs="Times New Roman"/>
                      <w:b/>
                      <w:bCs/>
                      <w:color w:val="auto"/>
                      <w:spacing w:val="-2"/>
                      <w:sz w:val="21"/>
                      <w:szCs w:val="21"/>
                      <w:highlight w:val="none"/>
                      <w:lang w:eastAsia="zh-CN"/>
                    </w:rPr>
                  </w:pPr>
                  <w:r>
                    <w:rPr>
                      <w:rFonts w:ascii="Times New Roman" w:hAnsi="Times New Roman" w:cs="Times New Roman"/>
                      <w:b/>
                      <w:bCs/>
                      <w:color w:val="auto"/>
                      <w:spacing w:val="-2"/>
                      <w:sz w:val="21"/>
                      <w:szCs w:val="21"/>
                      <w:highlight w:val="none"/>
                      <w:lang w:eastAsia="zh-CN"/>
                    </w:rPr>
                    <w:t>（闭矿期）</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p>
              </w:tc>
              <w:tc>
                <w:tcPr>
                  <w:tcW w:w="1047" w:type="dxa"/>
                  <w:shd w:val="clear" w:color="auto" w:fill="auto"/>
                  <w:tcMar>
                    <w:top w:w="15" w:type="dxa"/>
                    <w:left w:w="15" w:type="dxa"/>
                    <w:right w:w="15" w:type="dxa"/>
                  </w:tcMar>
                  <w:vAlign w:val="center"/>
                </w:tcPr>
                <w:p>
                  <w:pPr>
                    <w:jc w:val="center"/>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pacing w:val="-2"/>
                      <w:sz w:val="21"/>
                      <w:szCs w:val="21"/>
                      <w:highlight w:val="none"/>
                      <w:lang w:val="en-US" w:eastAsia="zh-CN"/>
                    </w:rPr>
                    <w:t>22600</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color w:val="auto"/>
                      <w:spacing w:val="-2"/>
                      <w:sz w:val="21"/>
                      <w:szCs w:val="21"/>
                      <w:highlight w:val="none"/>
                      <w:lang w:eastAsia="zh-CN"/>
                    </w:rPr>
                  </w:pP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lang w:eastAsia="zh-CN"/>
                    </w:rPr>
                  </w:pPr>
                  <w:r>
                    <w:rPr>
                      <w:rFonts w:hint="eastAsia" w:ascii="Times New Roman" w:hAnsi="Times New Roman" w:cs="Times New Roman"/>
                      <w:b/>
                      <w:bCs/>
                      <w:color w:val="auto"/>
                      <w:spacing w:val="-2"/>
                      <w:sz w:val="21"/>
                      <w:szCs w:val="21"/>
                      <w:highlight w:val="none"/>
                      <w:lang w:eastAsia="zh-CN"/>
                    </w:rPr>
                    <w:t>9</w:t>
                  </w:r>
                  <w:r>
                    <w:rPr>
                      <w:rFonts w:ascii="Times New Roman" w:hAnsi="Times New Roman" w:cs="Times New Roman"/>
                      <w:b/>
                      <w:bCs/>
                      <w:color w:val="auto"/>
                      <w:spacing w:val="-2"/>
                      <w:sz w:val="21"/>
                      <w:szCs w:val="21"/>
                      <w:highlight w:val="none"/>
                      <w:lang w:eastAsia="zh-CN"/>
                    </w:rPr>
                    <w:t>22.5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lang w:eastAsia="zh-CN"/>
                    </w:rPr>
                  </w:pPr>
                  <w:r>
                    <w:rPr>
                      <w:rFonts w:hint="eastAsia" w:ascii="Times New Roman" w:hAnsi="Times New Roman" w:cs="Times New Roman"/>
                      <w:b/>
                      <w:bCs/>
                      <w:color w:val="auto"/>
                      <w:spacing w:val="-2"/>
                      <w:sz w:val="21"/>
                      <w:szCs w:val="21"/>
                      <w:highlight w:val="none"/>
                      <w:lang w:eastAsia="zh-CN"/>
                    </w:rPr>
                    <w:t>1</w:t>
                  </w:r>
                  <w:r>
                    <w:rPr>
                      <w:rFonts w:ascii="Times New Roman" w:hAnsi="Times New Roman" w:cs="Times New Roman"/>
                      <w:b/>
                      <w:bCs/>
                      <w:color w:val="auto"/>
                      <w:spacing w:val="-2"/>
                      <w:sz w:val="21"/>
                      <w:szCs w:val="21"/>
                      <w:highlight w:val="none"/>
                      <w:lang w:eastAsia="zh-CN"/>
                    </w:rPr>
                    <w:t>660.5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color w:val="auto"/>
                      <w:spacing w:val="-2"/>
                      <w:sz w:val="21"/>
                      <w:szCs w:val="21"/>
                      <w:highlight w:val="none"/>
                      <w:lang w:eastAsia="zh-CN"/>
                    </w:rPr>
                  </w:pPr>
                  <w:r>
                    <w:rPr>
                      <w:rFonts w:hint="eastAsia" w:ascii="Times New Roman" w:hAnsi="Times New Roman" w:cs="Times New Roman"/>
                      <w:b/>
                      <w:bCs/>
                      <w:color w:val="auto"/>
                      <w:spacing w:val="-2"/>
                      <w:sz w:val="21"/>
                      <w:szCs w:val="21"/>
                      <w:highlight w:val="none"/>
                      <w:lang w:eastAsia="zh-CN"/>
                    </w:rPr>
                    <w:t>7</w:t>
                  </w:r>
                  <w:r>
                    <w:rPr>
                      <w:rFonts w:ascii="Times New Roman" w:hAnsi="Times New Roman" w:cs="Times New Roman"/>
                      <w:b/>
                      <w:bCs/>
                      <w:color w:val="auto"/>
                      <w:spacing w:val="-2"/>
                      <w:sz w:val="21"/>
                      <w:szCs w:val="21"/>
                      <w:highlight w:val="none"/>
                      <w:lang w:eastAsia="zh-CN"/>
                    </w:rPr>
                    <w:t>38</w:t>
                  </w:r>
                </w:p>
              </w:tc>
            </w:tr>
          </w:tbl>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由上表数据可知，采矿区开采期间，</w:t>
            </w:r>
            <w:r>
              <w:rPr>
                <w:rFonts w:ascii="Times New Roman" w:hAnsi="Times New Roman" w:cs="Times New Roman"/>
                <w:color w:val="auto"/>
                <w:sz w:val="21"/>
                <w:szCs w:val="21"/>
                <w:highlight w:val="none"/>
                <w:lang w:eastAsia="zh-CN"/>
              </w:rPr>
              <w:t>1</w:t>
            </w:r>
            <w:r>
              <w:rPr>
                <w:rFonts w:hint="eastAsia" w:ascii="Times New Roman" w:hAnsi="Times New Roman" w:cs="Times New Roman"/>
                <w:color w:val="auto"/>
                <w:sz w:val="21"/>
                <w:szCs w:val="21"/>
                <w:highlight w:val="none"/>
                <w:lang w:eastAsia="zh-CN"/>
              </w:rPr>
              <w:t>年内共新增水土流失量为</w:t>
            </w:r>
            <w:r>
              <w:rPr>
                <w:rFonts w:ascii="Times New Roman" w:hAnsi="Times New Roman" w:cs="Times New Roman"/>
                <w:color w:val="auto"/>
                <w:sz w:val="21"/>
                <w:szCs w:val="21"/>
                <w:highlight w:val="none"/>
                <w:lang w:eastAsia="zh-CN"/>
              </w:rPr>
              <w:t>7.40t</w:t>
            </w:r>
            <w:r>
              <w:rPr>
                <w:rFonts w:hint="eastAsia" w:ascii="Times New Roman" w:hAnsi="Times New Roman" w:cs="Times New Roman"/>
                <w:color w:val="auto"/>
                <w:sz w:val="21"/>
                <w:szCs w:val="21"/>
                <w:highlight w:val="none"/>
                <w:lang w:eastAsia="zh-CN"/>
              </w:rPr>
              <w:t>。闭矿期采取生态恢复措施后，</w:t>
            </w:r>
            <w:r>
              <w:rPr>
                <w:rFonts w:hint="eastAsia" w:ascii="Times New Roman" w:hAnsi="Times New Roman" w:cs="Times New Roman"/>
                <w:color w:val="auto"/>
                <w:sz w:val="21"/>
                <w:szCs w:val="21"/>
                <w:highlight w:val="none"/>
                <w:lang w:val="en-US" w:eastAsia="zh-CN"/>
              </w:rPr>
              <w:t>5</w:t>
            </w:r>
            <w:r>
              <w:rPr>
                <w:rFonts w:hint="eastAsia" w:ascii="Times New Roman" w:hAnsi="Times New Roman" w:cs="Times New Roman"/>
                <w:color w:val="auto"/>
                <w:sz w:val="21"/>
                <w:szCs w:val="21"/>
                <w:highlight w:val="none"/>
                <w:lang w:eastAsia="zh-CN"/>
              </w:rPr>
              <w:t>年内新增水土流失量为</w:t>
            </w:r>
            <w:r>
              <w:rPr>
                <w:rFonts w:ascii="Times New Roman" w:hAnsi="Times New Roman" w:cs="Times New Roman"/>
                <w:color w:val="auto"/>
                <w:sz w:val="21"/>
                <w:szCs w:val="21"/>
                <w:highlight w:val="none"/>
                <w:lang w:eastAsia="zh-CN"/>
              </w:rPr>
              <w:t>7.40t</w:t>
            </w:r>
            <w:r>
              <w:rPr>
                <w:rFonts w:hint="eastAsia" w:ascii="Times New Roman" w:hAnsi="Times New Roman" w:cs="Times New Roman"/>
                <w:color w:val="auto"/>
                <w:sz w:val="21"/>
                <w:szCs w:val="21"/>
                <w:highlight w:val="none"/>
                <w:lang w:eastAsia="zh-CN"/>
              </w:rPr>
              <w:t>，闭矿后第6年开始，不再产生新增扰动水土流失，项目区水土流失量恢复到自然状态下的水平。</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p>
          <w:p>
            <w:pPr>
              <w:pStyle w:val="18"/>
              <w:spacing w:line="360" w:lineRule="auto"/>
              <w:ind w:firstLine="420" w:firstLineChars="200"/>
              <w:jc w:val="both"/>
              <w:rPr>
                <w:rFonts w:ascii="Times New Roman" w:hAnsi="Times New Roman" w:cs="Times New Roman"/>
                <w:color w:val="auto"/>
                <w:sz w:val="21"/>
                <w:szCs w:val="21"/>
                <w:highlight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46" w:hRule="atLeast"/>
        </w:trPr>
        <w:tc>
          <w:tcPr>
            <w:tcW w:w="870" w:type="dxa"/>
            <w:tcBorders>
              <w:top w:val="single" w:color="000000" w:sz="4" w:space="0"/>
              <w:right w:val="single" w:color="000000" w:sz="4" w:space="0"/>
            </w:tcBorders>
            <w:vAlign w:val="center"/>
          </w:tcPr>
          <w:p>
            <w:pPr>
              <w:pStyle w:val="18"/>
              <w:jc w:val="center"/>
              <w:rPr>
                <w:rFonts w:ascii="Times New Roman" w:hAnsi="Times New Roman" w:cs="Times New Roman"/>
                <w:b/>
                <w:color w:val="auto"/>
                <w:sz w:val="21"/>
                <w:szCs w:val="21"/>
                <w:highlight w:val="none"/>
                <w:lang w:eastAsia="zh-CN"/>
              </w:rPr>
            </w:pPr>
            <w:r>
              <w:rPr>
                <w:rFonts w:ascii="Times New Roman" w:hAnsi="Times New Roman" w:cs="Times New Roman"/>
                <w:b/>
                <w:color w:val="auto"/>
                <w:sz w:val="21"/>
                <w:szCs w:val="21"/>
                <w:highlight w:val="none"/>
                <w:lang w:eastAsia="zh-CN"/>
              </w:rPr>
              <w:t>选址选线环境合理性分析</w:t>
            </w:r>
          </w:p>
        </w:tc>
        <w:tc>
          <w:tcPr>
            <w:tcW w:w="8795" w:type="dxa"/>
            <w:tcBorders>
              <w:top w:val="single" w:color="000000" w:sz="4" w:space="0"/>
              <w:left w:val="single" w:color="000000" w:sz="4" w:space="0"/>
            </w:tcBorders>
          </w:tcPr>
          <w:p>
            <w:pPr>
              <w:pStyle w:val="18"/>
              <w:spacing w:line="360" w:lineRule="auto"/>
              <w:ind w:firstLine="420" w:firstLineChars="200"/>
              <w:jc w:val="both"/>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eastAsia="zh-CN"/>
              </w:rPr>
              <w:t>项目建设地点位于</w:t>
            </w:r>
            <w:r>
              <w:rPr>
                <w:rFonts w:hint="eastAsia" w:ascii="Times New Roman" w:hAnsi="Times New Roman" w:eastAsia="宋体" w:cs="Times New Roman"/>
                <w:color w:val="auto"/>
                <w:sz w:val="21"/>
                <w:szCs w:val="21"/>
                <w:highlight w:val="none"/>
                <w:u w:val="none"/>
                <w:lang w:val="en-US" w:eastAsia="zh-CN" w:bidi="ar-SA"/>
              </w:rPr>
              <w:t>伊犁州新源县塔勒德镇新源县2</w:t>
            </w:r>
            <w:r>
              <w:rPr>
                <w:rFonts w:hint="eastAsia" w:ascii="Times New Roman" w:hAnsi="Times New Roman" w:cs="Times New Roman"/>
                <w:color w:val="auto"/>
                <w:sz w:val="21"/>
                <w:szCs w:val="21"/>
                <w:highlight w:val="none"/>
                <w:u w:val="none"/>
                <w:lang w:val="en-US" w:eastAsia="zh-CN" w:bidi="ar-SA"/>
              </w:rPr>
              <w:t>66</w:t>
            </w:r>
            <w:r>
              <w:rPr>
                <w:rFonts w:hint="eastAsia" w:ascii="Times New Roman" w:hAnsi="Times New Roman" w:eastAsia="宋体" w:cs="Times New Roman"/>
                <w:color w:val="auto"/>
                <w:sz w:val="21"/>
                <w:szCs w:val="21"/>
                <w:highlight w:val="none"/>
                <w:u w:val="none"/>
                <w:lang w:val="en-US" w:eastAsia="zh-CN" w:bidi="ar-SA"/>
              </w:rPr>
              <w:t>°方位约</w:t>
            </w:r>
            <w:r>
              <w:rPr>
                <w:rFonts w:hint="eastAsia" w:ascii="Times New Roman" w:hAnsi="Times New Roman" w:cs="Times New Roman"/>
                <w:color w:val="auto"/>
                <w:sz w:val="21"/>
                <w:szCs w:val="21"/>
                <w:highlight w:val="none"/>
                <w:u w:val="none"/>
                <w:lang w:val="en-US" w:eastAsia="zh-CN" w:bidi="ar-SA"/>
              </w:rPr>
              <w:t>22</w:t>
            </w:r>
            <w:r>
              <w:rPr>
                <w:rFonts w:hint="eastAsia" w:ascii="Times New Roman" w:hAnsi="Times New Roman" w:eastAsia="宋体" w:cs="Times New Roman"/>
                <w:color w:val="auto"/>
                <w:sz w:val="21"/>
                <w:szCs w:val="21"/>
                <w:highlight w:val="none"/>
                <w:u w:val="none"/>
                <w:lang w:val="en-US" w:eastAsia="zh-CN" w:bidi="ar-SA"/>
              </w:rPr>
              <w:t>km处</w:t>
            </w:r>
            <w:r>
              <w:rPr>
                <w:rFonts w:ascii="Times New Roman" w:hAnsi="Times New Roman" w:cs="Times New Roman"/>
                <w:color w:val="auto"/>
                <w:spacing w:val="4"/>
                <w:kern w:val="2"/>
                <w:sz w:val="21"/>
                <w:szCs w:val="21"/>
                <w:highlight w:val="none"/>
                <w:lang w:eastAsia="zh-CN"/>
              </w:rPr>
              <w:t>，</w:t>
            </w:r>
            <w:r>
              <w:rPr>
                <w:rFonts w:hint="eastAsia" w:ascii="Times New Roman" w:hAnsi="Times New Roman" w:cs="Times New Roman"/>
                <w:color w:val="auto"/>
                <w:spacing w:val="4"/>
                <w:kern w:val="2"/>
                <w:sz w:val="21"/>
                <w:szCs w:val="21"/>
                <w:highlight w:val="none"/>
                <w:lang w:eastAsia="zh-CN"/>
              </w:rPr>
              <w:t>项目区地理坐标为：</w:t>
            </w:r>
            <w:r>
              <w:rPr>
                <w:rFonts w:hint="eastAsia" w:ascii="Times New Roman" w:hAnsi="Times New Roman" w:cs="Times New Roman"/>
                <w:b w:val="0"/>
                <w:bCs w:val="0"/>
                <w:color w:val="auto"/>
                <w:sz w:val="21"/>
                <w:szCs w:val="21"/>
                <w:highlight w:val="none"/>
                <w:lang w:val="en-US" w:eastAsia="zh-CN"/>
              </w:rPr>
              <w:t>东经82°59′17.500″，北纬43°24′47.250″</w:t>
            </w:r>
            <w:r>
              <w:rPr>
                <w:rFonts w:ascii="Times New Roman" w:hAnsi="Times New Roman" w:cs="Times New Roman"/>
                <w:color w:val="auto"/>
                <w:sz w:val="21"/>
                <w:szCs w:val="21"/>
                <w:highlight w:val="none"/>
                <w:lang w:eastAsia="zh-CN"/>
              </w:rPr>
              <w:t>，项目区</w:t>
            </w:r>
            <w:r>
              <w:rPr>
                <w:rFonts w:hint="eastAsia" w:ascii="Times New Roman" w:hAnsi="Times New Roman" w:cs="Times New Roman"/>
                <w:color w:val="auto"/>
                <w:sz w:val="21"/>
                <w:szCs w:val="21"/>
                <w:highlight w:val="none"/>
                <w:lang w:eastAsia="zh-CN"/>
              </w:rPr>
              <w:t>东侧为现有乡村道路，隔路为闲置牧民院落及空地，南侧、西侧、北侧均为</w:t>
            </w:r>
            <w:r>
              <w:rPr>
                <w:rFonts w:ascii="Times New Roman" w:hAnsi="Times New Roman" w:cs="Times New Roman"/>
                <w:color w:val="auto"/>
                <w:sz w:val="21"/>
                <w:szCs w:val="21"/>
                <w:highlight w:val="none"/>
                <w:lang w:eastAsia="zh-CN"/>
              </w:rPr>
              <w:t>空地。</w:t>
            </w:r>
            <w:r>
              <w:rPr>
                <w:rFonts w:hint="eastAsia" w:ascii="Times New Roman" w:hAnsi="Times New Roman" w:cs="Times New Roman"/>
                <w:color w:val="auto"/>
                <w:sz w:val="21"/>
                <w:szCs w:val="21"/>
                <w:highlight w:val="none"/>
                <w:lang w:eastAsia="zh-CN"/>
              </w:rPr>
              <w:t>建设项目周边环境示意图见图</w:t>
            </w:r>
            <w:r>
              <w:rPr>
                <w:rFonts w:hint="eastAsia" w:ascii="Times New Roman" w:hAnsi="Times New Roman" w:cs="Times New Roman"/>
                <w:color w:val="auto"/>
                <w:sz w:val="21"/>
                <w:szCs w:val="21"/>
                <w:highlight w:val="none"/>
                <w:lang w:val="en-US" w:eastAsia="zh-CN"/>
              </w:rPr>
              <w:t>7。</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根据现场勘查可知，项目厂址评价范围内无国家和地方重点保护文物古迹及珍贵动植物，亦无国家级和自治区级保护物种，无自然保护区、风景名胜区、水源保护区等环境敏感区。不存在特殊环境制约因素，本项目周边现状没有与本项目冲突的企业存在，空气扩散条件相对良好，项目的建设和运营不会对周边环境产生明显的污染影响，周边无对本项目敏感的企业存在。项目周边外环境关系简单，无明显环境制约因素。从环境保护角度而言，项目选址是合理可行的。</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p>
          <w:p>
            <w:pPr>
              <w:pStyle w:val="18"/>
              <w:spacing w:line="360" w:lineRule="auto"/>
              <w:ind w:firstLine="420" w:firstLineChars="200"/>
              <w:jc w:val="both"/>
              <w:rPr>
                <w:rFonts w:ascii="Times New Roman" w:hAnsi="Times New Roman" w:cs="Times New Roman"/>
                <w:color w:val="auto"/>
                <w:sz w:val="21"/>
                <w:szCs w:val="21"/>
                <w:highlight w:val="none"/>
                <w:lang w:eastAsia="zh-CN"/>
              </w:rPr>
            </w:pPr>
          </w:p>
          <w:p>
            <w:pPr>
              <w:pStyle w:val="18"/>
              <w:spacing w:line="360" w:lineRule="auto"/>
              <w:ind w:firstLine="420" w:firstLineChars="200"/>
              <w:jc w:val="both"/>
              <w:rPr>
                <w:rFonts w:ascii="Times New Roman" w:hAnsi="Times New Roman" w:cs="Times New Roman"/>
                <w:color w:val="auto"/>
                <w:sz w:val="21"/>
                <w:szCs w:val="21"/>
                <w:highlight w:val="none"/>
                <w:lang w:eastAsia="zh-CN"/>
              </w:rPr>
            </w:pPr>
          </w:p>
          <w:p>
            <w:pPr>
              <w:pStyle w:val="18"/>
              <w:spacing w:line="360" w:lineRule="auto"/>
              <w:ind w:firstLine="420" w:firstLineChars="200"/>
              <w:jc w:val="both"/>
              <w:rPr>
                <w:rFonts w:ascii="Times New Roman" w:hAnsi="Times New Roman" w:cs="Times New Roman"/>
                <w:color w:val="auto"/>
                <w:sz w:val="21"/>
                <w:szCs w:val="21"/>
                <w:highlight w:val="none"/>
                <w:lang w:eastAsia="zh-CN"/>
              </w:rPr>
            </w:pPr>
          </w:p>
          <w:p>
            <w:pPr>
              <w:pStyle w:val="18"/>
              <w:spacing w:line="360" w:lineRule="auto"/>
              <w:ind w:firstLine="420" w:firstLineChars="200"/>
              <w:jc w:val="both"/>
              <w:rPr>
                <w:rFonts w:ascii="Times New Roman" w:hAnsi="Times New Roman" w:cs="Times New Roman"/>
                <w:color w:val="auto"/>
                <w:sz w:val="21"/>
                <w:szCs w:val="21"/>
                <w:highlight w:val="none"/>
                <w:lang w:eastAsia="zh-CN"/>
              </w:rPr>
            </w:pPr>
          </w:p>
          <w:p>
            <w:pPr>
              <w:rPr>
                <w:rFonts w:ascii="Times New Roman" w:hAnsi="Times New Roman" w:cs="Times New Roman"/>
                <w:color w:val="auto"/>
                <w:sz w:val="21"/>
                <w:szCs w:val="21"/>
                <w:highlight w:val="none"/>
                <w:lang w:eastAsia="zh-CN"/>
              </w:rPr>
            </w:pPr>
          </w:p>
        </w:tc>
      </w:tr>
    </w:tbl>
    <w:p>
      <w:pPr>
        <w:rPr>
          <w:rFonts w:ascii="Times New Roman" w:hAnsi="Times New Roman" w:cs="Times New Roman"/>
          <w:sz w:val="21"/>
          <w:lang w:eastAsia="zh-CN"/>
        </w:rPr>
        <w:sectPr>
          <w:type w:val="nextColumn"/>
          <w:pgSz w:w="11913" w:h="1685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8"/>
        <w:ind w:left="3033"/>
        <w:rPr>
          <w:rFonts w:ascii="Times New Roman" w:hAnsi="Times New Roman" w:cs="Times New Roman"/>
          <w:b/>
          <w:bCs/>
          <w:lang w:eastAsia="zh-CN"/>
        </w:rPr>
      </w:pPr>
      <w:r>
        <w:rPr>
          <w:rFonts w:ascii="Times New Roman" w:hAnsi="Times New Roman" w:cs="Times New Roman"/>
          <w:b/>
          <w:bCs/>
          <w:lang w:eastAsia="zh-CN"/>
        </w:rPr>
        <w:t>五、主要生态环境保护措施</w:t>
      </w:r>
    </w:p>
    <w:tbl>
      <w:tblPr>
        <w:tblStyle w:val="16"/>
        <w:tblW w:w="96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3"/>
        <w:gridCol w:w="86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9" w:hRule="atLeast"/>
        </w:trPr>
        <w:tc>
          <w:tcPr>
            <w:tcW w:w="1003" w:type="dxa"/>
            <w:tcBorders>
              <w:bottom w:val="single" w:color="000000" w:sz="4" w:space="0"/>
              <w:right w:val="single" w:color="000000" w:sz="4" w:space="0"/>
            </w:tcBorders>
            <w:vAlign w:val="center"/>
          </w:tcPr>
          <w:p>
            <w:pPr>
              <w:pStyle w:val="18"/>
              <w:jc w:val="center"/>
              <w:rPr>
                <w:rFonts w:ascii="Times New Roman" w:hAnsi="Times New Roman" w:cs="Times New Roman"/>
                <w:b/>
                <w:color w:val="auto"/>
                <w:sz w:val="21"/>
                <w:szCs w:val="21"/>
                <w:highlight w:val="none"/>
                <w:lang w:eastAsia="zh-CN"/>
              </w:rPr>
            </w:pPr>
            <w:bookmarkStart w:id="0" w:name="_Hlk98779875"/>
            <w:r>
              <w:rPr>
                <w:rFonts w:ascii="Times New Roman" w:hAnsi="Times New Roman" w:cs="Times New Roman"/>
                <w:b/>
                <w:color w:val="auto"/>
                <w:sz w:val="21"/>
                <w:szCs w:val="21"/>
                <w:highlight w:val="none"/>
                <w:lang w:eastAsia="zh-CN"/>
              </w:rPr>
              <w:t>施工期生态环境保护措施</w:t>
            </w:r>
          </w:p>
        </w:tc>
        <w:tc>
          <w:tcPr>
            <w:tcW w:w="8662" w:type="dxa"/>
            <w:tcBorders>
              <w:left w:val="single" w:color="000000" w:sz="4" w:space="0"/>
              <w:bottom w:val="single" w:color="000000" w:sz="4" w:space="0"/>
            </w:tcBorders>
          </w:tcPr>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项目无施工期。</w:t>
            </w:r>
          </w:p>
        </w:tc>
      </w:tr>
      <w:bookmarkEnd w:id="0"/>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30" w:hRule="atLeast"/>
        </w:trPr>
        <w:tc>
          <w:tcPr>
            <w:tcW w:w="1003"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color w:val="auto"/>
                <w:sz w:val="21"/>
                <w:szCs w:val="21"/>
                <w:highlight w:val="none"/>
                <w:lang w:eastAsia="zh-CN"/>
              </w:rPr>
            </w:pPr>
            <w:r>
              <w:rPr>
                <w:rFonts w:ascii="Times New Roman" w:hAnsi="Times New Roman" w:cs="Times New Roman"/>
                <w:b/>
                <w:color w:val="auto"/>
                <w:sz w:val="21"/>
                <w:szCs w:val="21"/>
                <w:highlight w:val="none"/>
                <w:lang w:eastAsia="zh-CN"/>
              </w:rPr>
              <w:t>运营期生态环境保护措施</w:t>
            </w:r>
          </w:p>
        </w:tc>
        <w:tc>
          <w:tcPr>
            <w:tcW w:w="8662" w:type="dxa"/>
            <w:tcBorders>
              <w:left w:val="single" w:color="000000" w:sz="4" w:space="0"/>
              <w:bottom w:val="single" w:color="000000" w:sz="4" w:space="0"/>
            </w:tcBorders>
          </w:tcPr>
          <w:p>
            <w:pPr>
              <w:pStyle w:val="18"/>
              <w:spacing w:before="120" w:beforeLines="50" w:line="360" w:lineRule="auto"/>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1、</w:t>
            </w:r>
            <w:r>
              <w:rPr>
                <w:rFonts w:hint="eastAsia" w:ascii="Times New Roman" w:hAnsi="Times New Roman" w:cs="Times New Roman" w:eastAsiaTheme="minorEastAsia"/>
                <w:b/>
                <w:bCs/>
                <w:color w:val="auto"/>
                <w:sz w:val="21"/>
                <w:szCs w:val="21"/>
                <w:highlight w:val="none"/>
                <w:lang w:eastAsia="zh-CN"/>
              </w:rPr>
              <w:t>运营</w:t>
            </w:r>
            <w:r>
              <w:rPr>
                <w:rFonts w:ascii="Times New Roman" w:hAnsi="Times New Roman" w:cs="Times New Roman" w:eastAsiaTheme="minorEastAsia"/>
                <w:b/>
                <w:bCs/>
                <w:color w:val="auto"/>
                <w:sz w:val="21"/>
                <w:szCs w:val="21"/>
                <w:highlight w:val="none"/>
                <w:lang w:eastAsia="zh-CN"/>
              </w:rPr>
              <w:t>期大气环境保护措施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项目运营期废气主要为：工艺扬尘（采挖扬尘、装载扬尘）、交通扬尘、尾气（机械设备、车辆），为减轻项目废气对区域环境空气质量的影响，应采取以下措施：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（1）项目开采时对开采区域、作业面采取洒水车洒水抑尘措施，通过湿法作业来抑制采矿扬尘的产生。</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（2）项目区内</w:t>
            </w:r>
            <w:r>
              <w:rPr>
                <w:rFonts w:hint="eastAsia" w:ascii="Times New Roman" w:hAnsi="Times New Roman" w:cs="Times New Roman"/>
                <w:color w:val="auto"/>
                <w:sz w:val="21"/>
                <w:szCs w:val="21"/>
                <w:highlight w:val="none"/>
                <w:lang w:eastAsia="zh-CN"/>
              </w:rPr>
              <w:t>砂石</w:t>
            </w:r>
            <w:r>
              <w:rPr>
                <w:rFonts w:ascii="Times New Roman" w:hAnsi="Times New Roman" w:cs="Times New Roman"/>
                <w:color w:val="auto"/>
                <w:sz w:val="21"/>
                <w:szCs w:val="21"/>
                <w:highlight w:val="none"/>
                <w:lang w:eastAsia="zh-CN"/>
              </w:rPr>
              <w:t>硬化路面</w:t>
            </w:r>
            <w:r>
              <w:rPr>
                <w:rFonts w:hint="eastAsia" w:ascii="Times New Roman" w:hAnsi="Times New Roman" w:cs="Times New Roman"/>
                <w:color w:val="auto"/>
                <w:sz w:val="21"/>
                <w:szCs w:val="21"/>
                <w:highlight w:val="none"/>
                <w:lang w:val="en-US" w:eastAsia="zh-CN"/>
              </w:rPr>
              <w:t>253</w:t>
            </w:r>
            <w:r>
              <w:rPr>
                <w:rFonts w:ascii="Times New Roman" w:hAnsi="Times New Roman" w:cs="Times New Roman"/>
                <w:color w:val="auto"/>
                <w:sz w:val="21"/>
                <w:szCs w:val="21"/>
                <w:highlight w:val="none"/>
                <w:lang w:eastAsia="zh-CN"/>
              </w:rPr>
              <w:t>m（宽</w:t>
            </w:r>
            <w:r>
              <w:rPr>
                <w:rFonts w:hint="eastAsia" w:ascii="Times New Roman" w:hAnsi="Times New Roman" w:cs="Times New Roman"/>
                <w:color w:val="auto"/>
                <w:sz w:val="21"/>
                <w:szCs w:val="21"/>
                <w:highlight w:val="none"/>
                <w:lang w:val="en-US" w:eastAsia="zh-CN"/>
              </w:rPr>
              <w:t>5</w:t>
            </w:r>
            <w:r>
              <w:rPr>
                <w:rFonts w:ascii="Times New Roman" w:hAnsi="Times New Roman" w:cs="Times New Roman"/>
                <w:color w:val="auto"/>
                <w:sz w:val="21"/>
                <w:szCs w:val="21"/>
                <w:highlight w:val="none"/>
                <w:lang w:eastAsia="zh-CN"/>
              </w:rPr>
              <w:t>m），</w:t>
            </w:r>
            <w:r>
              <w:rPr>
                <w:rFonts w:hint="eastAsia" w:ascii="Times New Roman" w:hAnsi="Times New Roman" w:cs="Times New Roman"/>
                <w:color w:val="auto"/>
                <w:sz w:val="21"/>
                <w:szCs w:val="21"/>
                <w:highlight w:val="none"/>
                <w:lang w:eastAsia="zh-CN"/>
              </w:rPr>
              <w:t>南北</w:t>
            </w:r>
            <w:r>
              <w:rPr>
                <w:rFonts w:ascii="Times New Roman" w:hAnsi="Times New Roman" w:cs="Times New Roman"/>
                <w:color w:val="auto"/>
                <w:sz w:val="21"/>
                <w:szCs w:val="21"/>
                <w:highlight w:val="none"/>
                <w:lang w:eastAsia="zh-CN"/>
              </w:rPr>
              <w:t>走向，道路</w:t>
            </w:r>
            <w:r>
              <w:rPr>
                <w:rFonts w:hint="eastAsia" w:ascii="Times New Roman" w:hAnsi="Times New Roman" w:cs="Times New Roman"/>
                <w:color w:val="auto"/>
                <w:sz w:val="21"/>
                <w:szCs w:val="21"/>
                <w:highlight w:val="none"/>
                <w:lang w:eastAsia="zh-CN"/>
              </w:rPr>
              <w:t>定期洒水降尘。</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（3）粘土矿装载过程中应降低铲车铲斗与自卸载重汽车车斗之间的高度差，并配合雾炮机洒水抑尘措施，来减少装载扬尘。</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4）运输车辆出入采矿区应低速行驶，采区内运输道路定期洒水，减少交通扬尘。车辆装载粘土矿高度不得超过车辆槽帮上沿，车斗用苫布遮蔽，苫布边缘至少要遮住槽帮上沿以下15cm，避免粘土矿掉落引起扬尘。</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（5）如遇四级及以上大风天气，应采取扬尘应急措施，停止采矿作业，同时作业面覆盖防尘布、遮网。</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（6）合理计划每日开采量，日采日运，粘土矿不得在采矿区内长时间堆存。</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（7）加强施工机械、车辆的日常检修维护保养，避免尾气非正常排放，污染大气环境。</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综上所述，项目在落实相应措施情况下，可将项目运营期对周围环境空气质量的影响降至最低。</w:t>
            </w:r>
          </w:p>
          <w:p>
            <w:pPr>
              <w:pStyle w:val="18"/>
              <w:spacing w:before="120" w:beforeLines="50" w:line="360" w:lineRule="auto"/>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2、</w:t>
            </w:r>
            <w:r>
              <w:rPr>
                <w:rFonts w:hint="eastAsia" w:ascii="Times New Roman" w:hAnsi="Times New Roman" w:cs="Times New Roman" w:eastAsiaTheme="minorEastAsia"/>
                <w:b/>
                <w:bCs/>
                <w:color w:val="auto"/>
                <w:sz w:val="21"/>
                <w:szCs w:val="21"/>
                <w:highlight w:val="none"/>
                <w:lang w:eastAsia="zh-CN"/>
              </w:rPr>
              <w:t>运营</w:t>
            </w:r>
            <w:r>
              <w:rPr>
                <w:rFonts w:ascii="Times New Roman" w:hAnsi="Times New Roman" w:cs="Times New Roman" w:eastAsiaTheme="minorEastAsia"/>
                <w:b/>
                <w:bCs/>
                <w:color w:val="auto"/>
                <w:sz w:val="21"/>
                <w:szCs w:val="21"/>
                <w:highlight w:val="none"/>
                <w:lang w:eastAsia="zh-CN"/>
              </w:rPr>
              <w:t>期水环境保护措施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为了减少运营期废水对环境的影响，应采取以下措施：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（1）按本环评要求处置生活污水，禁止生活污水直接排放，污染采矿区或进入天然水体。</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（2）</w:t>
            </w:r>
            <w:r>
              <w:rPr>
                <w:rFonts w:hint="eastAsia" w:ascii="Times New Roman" w:hAnsi="Times New Roman" w:cs="Times New Roman"/>
                <w:color w:val="auto"/>
                <w:sz w:val="21"/>
                <w:szCs w:val="21"/>
                <w:highlight w:val="none"/>
                <w:lang w:eastAsia="zh-CN"/>
              </w:rPr>
              <w:t>运营期</w:t>
            </w:r>
            <w:r>
              <w:rPr>
                <w:rFonts w:ascii="Times New Roman" w:hAnsi="Times New Roman" w:cs="Times New Roman"/>
                <w:color w:val="auto"/>
                <w:sz w:val="21"/>
                <w:szCs w:val="21"/>
                <w:highlight w:val="none"/>
                <w:lang w:eastAsia="zh-CN"/>
              </w:rPr>
              <w:t>加强对机械</w:t>
            </w:r>
            <w:r>
              <w:rPr>
                <w:rFonts w:hint="eastAsia" w:ascii="Times New Roman" w:hAnsi="Times New Roman" w:cs="Times New Roman"/>
                <w:color w:val="auto"/>
                <w:sz w:val="21"/>
                <w:szCs w:val="21"/>
                <w:highlight w:val="none"/>
                <w:lang w:eastAsia="zh-CN"/>
              </w:rPr>
              <w:t>设备、车辆</w:t>
            </w:r>
            <w:r>
              <w:rPr>
                <w:rFonts w:ascii="Times New Roman" w:hAnsi="Times New Roman" w:cs="Times New Roman"/>
                <w:color w:val="auto"/>
                <w:sz w:val="21"/>
                <w:szCs w:val="21"/>
                <w:highlight w:val="none"/>
                <w:lang w:eastAsia="zh-CN"/>
              </w:rPr>
              <w:t>定期检修</w:t>
            </w:r>
            <w:r>
              <w:rPr>
                <w:rFonts w:hint="eastAsia" w:ascii="Times New Roman" w:hAnsi="Times New Roman" w:cs="Times New Roman"/>
                <w:color w:val="auto"/>
                <w:sz w:val="21"/>
                <w:szCs w:val="21"/>
                <w:highlight w:val="none"/>
                <w:lang w:eastAsia="zh-CN"/>
              </w:rPr>
              <w:t>维护</w:t>
            </w:r>
            <w:r>
              <w:rPr>
                <w:rFonts w:ascii="Times New Roman" w:hAnsi="Times New Roman" w:cs="Times New Roman"/>
                <w:color w:val="auto"/>
                <w:sz w:val="21"/>
                <w:szCs w:val="21"/>
                <w:highlight w:val="none"/>
                <w:lang w:eastAsia="zh-CN"/>
              </w:rPr>
              <w:t>保养，避免在</w:t>
            </w:r>
            <w:r>
              <w:rPr>
                <w:rFonts w:hint="eastAsia" w:ascii="Times New Roman" w:hAnsi="Times New Roman" w:cs="Times New Roman"/>
                <w:color w:val="auto"/>
                <w:sz w:val="21"/>
                <w:szCs w:val="21"/>
                <w:highlight w:val="none"/>
                <w:lang w:eastAsia="zh-CN"/>
              </w:rPr>
              <w:t>作业</w:t>
            </w:r>
            <w:r>
              <w:rPr>
                <w:rFonts w:ascii="Times New Roman" w:hAnsi="Times New Roman" w:cs="Times New Roman"/>
                <w:color w:val="auto"/>
                <w:sz w:val="21"/>
                <w:szCs w:val="21"/>
                <w:highlight w:val="none"/>
                <w:lang w:eastAsia="zh-CN"/>
              </w:rPr>
              <w:t>过程中燃油</w:t>
            </w:r>
            <w:r>
              <w:rPr>
                <w:rFonts w:hint="eastAsia" w:ascii="Times New Roman" w:hAnsi="Times New Roman" w:cs="Times New Roman"/>
                <w:color w:val="auto"/>
                <w:sz w:val="21"/>
                <w:szCs w:val="21"/>
                <w:highlight w:val="none"/>
                <w:lang w:eastAsia="zh-CN"/>
              </w:rPr>
              <w:t>和</w:t>
            </w:r>
            <w:r>
              <w:rPr>
                <w:rFonts w:ascii="Times New Roman" w:hAnsi="Times New Roman" w:cs="Times New Roman"/>
                <w:color w:val="auto"/>
                <w:sz w:val="21"/>
                <w:szCs w:val="21"/>
                <w:highlight w:val="none"/>
                <w:lang w:eastAsia="zh-CN"/>
              </w:rPr>
              <w:t>机油的跑、冒、滴、漏。</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（3）不得随意在采矿区内冲洗机械设备和车辆，对施工机械进行检修和清洗时必须定点。</w:t>
            </w:r>
          </w:p>
          <w:p>
            <w:pPr>
              <w:pStyle w:val="18"/>
              <w:spacing w:before="120" w:beforeLines="50" w:line="360" w:lineRule="auto"/>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3、</w:t>
            </w:r>
            <w:r>
              <w:rPr>
                <w:rFonts w:hint="eastAsia" w:ascii="Times New Roman" w:hAnsi="Times New Roman" w:cs="Times New Roman" w:eastAsiaTheme="minorEastAsia"/>
                <w:b/>
                <w:bCs/>
                <w:color w:val="auto"/>
                <w:sz w:val="21"/>
                <w:szCs w:val="21"/>
                <w:highlight w:val="none"/>
                <w:lang w:eastAsia="zh-CN"/>
              </w:rPr>
              <w:t>运营</w:t>
            </w:r>
            <w:r>
              <w:rPr>
                <w:rFonts w:ascii="Times New Roman" w:hAnsi="Times New Roman" w:cs="Times New Roman" w:eastAsiaTheme="minorEastAsia"/>
                <w:b/>
                <w:bCs/>
                <w:color w:val="auto"/>
                <w:sz w:val="21"/>
                <w:szCs w:val="21"/>
                <w:highlight w:val="none"/>
                <w:lang w:eastAsia="zh-CN"/>
              </w:rPr>
              <w:t>期声环境保护措施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为确保项目</w:t>
            </w:r>
            <w:r>
              <w:rPr>
                <w:rFonts w:hint="eastAsia" w:ascii="Times New Roman" w:hAnsi="Times New Roman" w:cs="Times New Roman"/>
                <w:color w:val="auto"/>
                <w:sz w:val="21"/>
                <w:szCs w:val="21"/>
                <w:highlight w:val="none"/>
                <w:lang w:eastAsia="zh-CN"/>
              </w:rPr>
              <w:t>运营</w:t>
            </w:r>
            <w:r>
              <w:rPr>
                <w:rFonts w:ascii="Times New Roman" w:hAnsi="Times New Roman" w:cs="Times New Roman"/>
                <w:color w:val="auto"/>
                <w:sz w:val="21"/>
                <w:szCs w:val="21"/>
                <w:highlight w:val="none"/>
                <w:lang w:eastAsia="zh-CN"/>
              </w:rPr>
              <w:t>过程中噪声满足</w:t>
            </w:r>
            <w:r>
              <w:rPr>
                <w:rFonts w:hint="eastAsia" w:ascii="Times New Roman" w:hAnsi="Times New Roman" w:cs="Times New Roman"/>
                <w:color w:val="auto"/>
                <w:sz w:val="21"/>
                <w:szCs w:val="21"/>
                <w:highlight w:val="none"/>
                <w:lang w:eastAsia="zh-CN"/>
              </w:rPr>
              <w:t>《工业企业厂界环境噪声排放标准》（</w:t>
            </w:r>
            <w:r>
              <w:rPr>
                <w:rFonts w:ascii="Times New Roman" w:hAnsi="Times New Roman" w:cs="Times New Roman"/>
                <w:color w:val="auto"/>
                <w:sz w:val="21"/>
                <w:szCs w:val="21"/>
                <w:highlight w:val="none"/>
                <w:lang w:eastAsia="zh-CN"/>
              </w:rPr>
              <w:t>GB 12348-2008）的要求，不对周边环境造成影响，在</w:t>
            </w:r>
            <w:r>
              <w:rPr>
                <w:rFonts w:hint="eastAsia" w:ascii="Times New Roman" w:hAnsi="Times New Roman" w:cs="Times New Roman"/>
                <w:color w:val="auto"/>
                <w:sz w:val="21"/>
                <w:szCs w:val="21"/>
                <w:highlight w:val="none"/>
                <w:lang w:eastAsia="zh-CN"/>
              </w:rPr>
              <w:t>采矿</w:t>
            </w:r>
            <w:r>
              <w:rPr>
                <w:rFonts w:ascii="Times New Roman" w:hAnsi="Times New Roman" w:cs="Times New Roman"/>
                <w:color w:val="auto"/>
                <w:sz w:val="21"/>
                <w:szCs w:val="21"/>
                <w:highlight w:val="none"/>
                <w:lang w:eastAsia="zh-CN"/>
              </w:rPr>
              <w:t>过程</w:t>
            </w:r>
            <w:r>
              <w:rPr>
                <w:rFonts w:hint="eastAsia" w:ascii="Times New Roman" w:hAnsi="Times New Roman" w:cs="Times New Roman"/>
                <w:color w:val="auto"/>
                <w:sz w:val="21"/>
                <w:szCs w:val="21"/>
                <w:highlight w:val="none"/>
                <w:lang w:eastAsia="zh-CN"/>
              </w:rPr>
              <w:t>中</w:t>
            </w:r>
            <w:r>
              <w:rPr>
                <w:rFonts w:ascii="Times New Roman" w:hAnsi="Times New Roman" w:cs="Times New Roman"/>
                <w:color w:val="auto"/>
                <w:sz w:val="21"/>
                <w:szCs w:val="21"/>
                <w:highlight w:val="none"/>
                <w:lang w:eastAsia="zh-CN"/>
              </w:rPr>
              <w:t>还必须采取一定的防治措施降低</w:t>
            </w:r>
            <w:r>
              <w:rPr>
                <w:rFonts w:hint="eastAsia" w:ascii="Times New Roman" w:hAnsi="Times New Roman" w:cs="Times New Roman"/>
                <w:color w:val="auto"/>
                <w:sz w:val="21"/>
                <w:szCs w:val="21"/>
                <w:highlight w:val="none"/>
                <w:lang w:eastAsia="zh-CN"/>
              </w:rPr>
              <w:t>机械设备</w:t>
            </w:r>
            <w:r>
              <w:rPr>
                <w:rFonts w:ascii="Times New Roman" w:hAnsi="Times New Roman" w:cs="Times New Roman"/>
                <w:color w:val="auto"/>
                <w:sz w:val="21"/>
                <w:szCs w:val="21"/>
                <w:highlight w:val="none"/>
                <w:lang w:eastAsia="zh-CN"/>
              </w:rPr>
              <w:t>噪声对周围环境的影响：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（1）采用低噪声机械设备，进场前</w:t>
            </w:r>
            <w:r>
              <w:rPr>
                <w:rFonts w:ascii="Times New Roman" w:hAnsi="Times New Roman" w:cs="Times New Roman"/>
                <w:color w:val="auto"/>
                <w:sz w:val="21"/>
                <w:szCs w:val="21"/>
                <w:highlight w:val="none"/>
                <w:lang w:eastAsia="zh-CN"/>
              </w:rPr>
              <w:t>应</w:t>
            </w:r>
            <w:r>
              <w:rPr>
                <w:rFonts w:hint="eastAsia" w:ascii="Times New Roman" w:hAnsi="Times New Roman" w:cs="Times New Roman"/>
                <w:color w:val="auto"/>
                <w:sz w:val="21"/>
                <w:szCs w:val="21"/>
                <w:highlight w:val="none"/>
                <w:lang w:eastAsia="zh-CN"/>
              </w:rPr>
              <w:t>先对其进行常规工作状态下的噪声测量，超过国家标准的机械设备禁止其入场作业。定期对机械设备进行检修维护保养，避免由于设备性能差而出现非正常</w:t>
            </w:r>
            <w:r>
              <w:rPr>
                <w:rFonts w:ascii="Times New Roman" w:hAnsi="Times New Roman" w:cs="Times New Roman"/>
                <w:color w:val="auto"/>
                <w:sz w:val="21"/>
                <w:szCs w:val="21"/>
                <w:highlight w:val="none"/>
                <w:lang w:eastAsia="zh-CN"/>
              </w:rPr>
              <w:t>工况高噪声</w:t>
            </w:r>
            <w:r>
              <w:rPr>
                <w:rFonts w:hint="eastAsia" w:ascii="Times New Roman" w:hAnsi="Times New Roman" w:cs="Times New Roman"/>
                <w:color w:val="auto"/>
                <w:sz w:val="21"/>
                <w:szCs w:val="21"/>
                <w:highlight w:val="none"/>
                <w:lang w:eastAsia="zh-CN"/>
              </w:rPr>
              <w:t>现象。</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（2）尽可能利用项目区内距离衰减来降噪，在不影响开采计划的前提下，尽量将强噪声机械设备分散、</w:t>
            </w:r>
            <w:r>
              <w:rPr>
                <w:rFonts w:ascii="Times New Roman" w:hAnsi="Times New Roman" w:cs="Times New Roman"/>
                <w:color w:val="auto"/>
                <w:sz w:val="21"/>
                <w:szCs w:val="21"/>
                <w:highlight w:val="none"/>
                <w:lang w:eastAsia="zh-CN"/>
              </w:rPr>
              <w:t>分区域作业</w:t>
            </w:r>
            <w:r>
              <w:rPr>
                <w:rFonts w:hint="eastAsia" w:ascii="Times New Roman" w:hAnsi="Times New Roman" w:cs="Times New Roman"/>
                <w:color w:val="auto"/>
                <w:sz w:val="21"/>
                <w:szCs w:val="21"/>
                <w:highlight w:val="none"/>
                <w:lang w:eastAsia="zh-CN"/>
              </w:rPr>
              <w:t>，最大限度减少机械设备噪声对区域声环境</w:t>
            </w:r>
            <w:r>
              <w:rPr>
                <w:rFonts w:ascii="Times New Roman" w:hAnsi="Times New Roman" w:cs="Times New Roman"/>
                <w:color w:val="auto"/>
                <w:sz w:val="21"/>
                <w:szCs w:val="21"/>
                <w:highlight w:val="none"/>
                <w:lang w:eastAsia="zh-CN"/>
              </w:rPr>
              <w:t>的</w:t>
            </w:r>
            <w:r>
              <w:rPr>
                <w:rFonts w:hint="eastAsia" w:ascii="Times New Roman" w:hAnsi="Times New Roman" w:cs="Times New Roman"/>
                <w:color w:val="auto"/>
                <w:sz w:val="21"/>
                <w:szCs w:val="21"/>
                <w:highlight w:val="none"/>
                <w:lang w:eastAsia="zh-CN"/>
              </w:rPr>
              <w:t>影响。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color w:val="auto"/>
                <w:sz w:val="21"/>
                <w:szCs w:val="21"/>
                <w:highlight w:val="none"/>
                <w:lang w:eastAsia="zh-CN"/>
              </w:rPr>
              <w:t>（3）</w:t>
            </w:r>
            <w:r>
              <w:rPr>
                <w:rFonts w:ascii="Times New Roman" w:hAnsi="Times New Roman" w:cs="Times New Roman"/>
                <w:color w:val="auto"/>
                <w:sz w:val="21"/>
                <w:szCs w:val="21"/>
                <w:highlight w:val="none"/>
                <w:lang w:eastAsia="zh-CN"/>
              </w:rPr>
              <w:t>车辆</w:t>
            </w:r>
            <w:r>
              <w:rPr>
                <w:rFonts w:hint="eastAsia" w:ascii="Times New Roman" w:hAnsi="Times New Roman" w:cs="Times New Roman"/>
                <w:color w:val="auto"/>
                <w:sz w:val="21"/>
                <w:szCs w:val="21"/>
                <w:highlight w:val="none"/>
                <w:lang w:eastAsia="zh-CN"/>
              </w:rPr>
              <w:t>行驶</w:t>
            </w:r>
            <w:r>
              <w:rPr>
                <w:rFonts w:ascii="Times New Roman" w:hAnsi="Times New Roman" w:cs="Times New Roman"/>
                <w:color w:val="auto"/>
                <w:sz w:val="21"/>
                <w:szCs w:val="21"/>
                <w:highlight w:val="none"/>
                <w:lang w:eastAsia="zh-CN"/>
              </w:rPr>
              <w:t>严格控制车速，严禁鸣笛。同时设置公告牌，</w:t>
            </w:r>
            <w:r>
              <w:rPr>
                <w:rFonts w:hint="eastAsia" w:ascii="Times New Roman" w:hAnsi="Times New Roman" w:cs="Times New Roman"/>
                <w:color w:val="auto"/>
                <w:sz w:val="21"/>
                <w:szCs w:val="21"/>
                <w:highlight w:val="none"/>
                <w:lang w:eastAsia="zh-CN"/>
              </w:rPr>
              <w:t>放置在</w:t>
            </w:r>
            <w:r>
              <w:rPr>
                <w:rFonts w:ascii="Times New Roman" w:hAnsi="Times New Roman" w:cs="Times New Roman"/>
                <w:color w:val="auto"/>
                <w:sz w:val="21"/>
                <w:szCs w:val="21"/>
                <w:highlight w:val="none"/>
                <w:lang w:eastAsia="zh-CN"/>
              </w:rPr>
              <w:t>显眼</w:t>
            </w:r>
            <w:r>
              <w:rPr>
                <w:rFonts w:hint="eastAsia" w:ascii="Times New Roman" w:hAnsi="Times New Roman" w:cs="Times New Roman"/>
                <w:color w:val="auto"/>
                <w:sz w:val="21"/>
                <w:szCs w:val="21"/>
                <w:highlight w:val="none"/>
                <w:lang w:eastAsia="zh-CN"/>
              </w:rPr>
              <w:t>易见</w:t>
            </w:r>
            <w:r>
              <w:rPr>
                <w:rFonts w:ascii="Times New Roman" w:hAnsi="Times New Roman" w:cs="Times New Roman"/>
                <w:color w:val="auto"/>
                <w:sz w:val="21"/>
                <w:szCs w:val="21"/>
                <w:highlight w:val="none"/>
                <w:lang w:eastAsia="zh-CN"/>
              </w:rPr>
              <w:t>的位置，协调好与当地</w:t>
            </w:r>
            <w:r>
              <w:rPr>
                <w:rFonts w:hint="eastAsia" w:ascii="Times New Roman" w:hAnsi="Times New Roman" w:cs="Times New Roman"/>
                <w:color w:val="auto"/>
                <w:sz w:val="21"/>
                <w:szCs w:val="21"/>
                <w:highlight w:val="none"/>
                <w:lang w:eastAsia="zh-CN"/>
              </w:rPr>
              <w:t>公众</w:t>
            </w:r>
            <w:r>
              <w:rPr>
                <w:rFonts w:ascii="Times New Roman" w:hAnsi="Times New Roman" w:cs="Times New Roman"/>
                <w:color w:val="auto"/>
                <w:sz w:val="21"/>
                <w:szCs w:val="21"/>
                <w:highlight w:val="none"/>
                <w:lang w:eastAsia="zh-CN"/>
              </w:rPr>
              <w:t>的关系，避免扰民事件发生。</w:t>
            </w:r>
          </w:p>
          <w:p>
            <w:pPr>
              <w:pStyle w:val="18"/>
              <w:spacing w:line="360" w:lineRule="auto"/>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4、</w:t>
            </w:r>
            <w:r>
              <w:rPr>
                <w:rFonts w:hint="eastAsia" w:ascii="Times New Roman" w:hAnsi="Times New Roman" w:cs="Times New Roman" w:eastAsiaTheme="minorEastAsia"/>
                <w:b/>
                <w:bCs/>
                <w:color w:val="auto"/>
                <w:sz w:val="21"/>
                <w:szCs w:val="21"/>
                <w:highlight w:val="none"/>
                <w:lang w:eastAsia="zh-CN"/>
              </w:rPr>
              <w:t>运营</w:t>
            </w:r>
            <w:r>
              <w:rPr>
                <w:rFonts w:ascii="Times New Roman" w:hAnsi="Times New Roman" w:cs="Times New Roman" w:eastAsiaTheme="minorEastAsia"/>
                <w:b/>
                <w:bCs/>
                <w:color w:val="auto"/>
                <w:sz w:val="21"/>
                <w:szCs w:val="21"/>
                <w:highlight w:val="none"/>
                <w:lang w:eastAsia="zh-CN"/>
              </w:rPr>
              <w:t>期固体废物污染防治措施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为减少</w:t>
            </w:r>
            <w:r>
              <w:rPr>
                <w:rFonts w:hint="eastAsia" w:ascii="Times New Roman" w:hAnsi="Times New Roman" w:cs="Times New Roman"/>
                <w:color w:val="auto"/>
                <w:sz w:val="21"/>
                <w:szCs w:val="21"/>
                <w:highlight w:val="none"/>
                <w:lang w:eastAsia="zh-CN"/>
              </w:rPr>
              <w:t>运营期</w:t>
            </w:r>
            <w:r>
              <w:rPr>
                <w:rFonts w:ascii="Times New Roman" w:hAnsi="Times New Roman" w:cs="Times New Roman"/>
                <w:color w:val="auto"/>
                <w:sz w:val="21"/>
                <w:szCs w:val="21"/>
                <w:highlight w:val="none"/>
                <w:lang w:eastAsia="zh-CN"/>
              </w:rPr>
              <w:t>固体废物对环境的不利影响，建议采取如下措施：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color w:val="auto"/>
                <w:sz w:val="21"/>
                <w:szCs w:val="21"/>
                <w:highlight w:val="none"/>
                <w:lang w:eastAsia="zh-CN"/>
              </w:rPr>
              <w:t>（1）</w:t>
            </w:r>
            <w:r>
              <w:rPr>
                <w:rFonts w:ascii="Times New Roman" w:hAnsi="Times New Roman" w:cs="Times New Roman"/>
                <w:color w:val="auto"/>
                <w:sz w:val="21"/>
                <w:szCs w:val="21"/>
                <w:highlight w:val="none"/>
                <w:lang w:eastAsia="zh-CN"/>
              </w:rPr>
              <w:t>生活垃圾</w:t>
            </w:r>
            <w:r>
              <w:rPr>
                <w:rFonts w:hint="eastAsia" w:ascii="Times New Roman" w:hAnsi="Times New Roman" w:cs="Times New Roman"/>
                <w:color w:val="auto"/>
                <w:sz w:val="21"/>
                <w:szCs w:val="21"/>
                <w:highlight w:val="none"/>
                <w:lang w:eastAsia="zh-CN"/>
              </w:rPr>
              <w:t>应严格管理</w:t>
            </w:r>
            <w:r>
              <w:rPr>
                <w:rFonts w:ascii="Times New Roman" w:hAnsi="Times New Roman" w:cs="Times New Roman"/>
                <w:color w:val="auto"/>
                <w:sz w:val="21"/>
                <w:szCs w:val="21"/>
                <w:highlight w:val="none"/>
                <w:lang w:eastAsia="zh-CN"/>
              </w:rPr>
              <w:t>，集中收集，不得随意丢弃</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定期交由</w:t>
            </w:r>
            <w:r>
              <w:rPr>
                <w:rFonts w:hint="eastAsia" w:ascii="Times New Roman" w:hAnsi="Times New Roman" w:cs="Times New Roman"/>
                <w:color w:val="auto"/>
                <w:sz w:val="21"/>
                <w:szCs w:val="21"/>
                <w:highlight w:val="none"/>
                <w:lang w:eastAsia="zh-CN"/>
              </w:rPr>
              <w:t>环卫</w:t>
            </w:r>
            <w:r>
              <w:rPr>
                <w:rFonts w:ascii="Times New Roman" w:hAnsi="Times New Roman" w:cs="Times New Roman"/>
                <w:color w:val="auto"/>
                <w:sz w:val="21"/>
                <w:szCs w:val="21"/>
                <w:highlight w:val="none"/>
                <w:lang w:eastAsia="zh-CN"/>
              </w:rPr>
              <w:t>部门处置。</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（2）生活</w:t>
            </w:r>
            <w:r>
              <w:rPr>
                <w:rFonts w:ascii="Times New Roman" w:hAnsi="Times New Roman" w:cs="Times New Roman"/>
                <w:color w:val="auto"/>
                <w:sz w:val="21"/>
                <w:szCs w:val="21"/>
                <w:highlight w:val="none"/>
                <w:lang w:eastAsia="zh-CN"/>
              </w:rPr>
              <w:t>垃圾收集装置应远离开采区，</w:t>
            </w:r>
            <w:r>
              <w:rPr>
                <w:rFonts w:hint="eastAsia" w:ascii="Times New Roman" w:hAnsi="Times New Roman" w:cs="Times New Roman"/>
                <w:color w:val="auto"/>
                <w:sz w:val="21"/>
                <w:szCs w:val="21"/>
                <w:highlight w:val="none"/>
                <w:lang w:eastAsia="zh-CN"/>
              </w:rPr>
              <w:t>防止</w:t>
            </w:r>
            <w:r>
              <w:rPr>
                <w:rFonts w:ascii="Times New Roman" w:hAnsi="Times New Roman" w:cs="Times New Roman"/>
                <w:color w:val="auto"/>
                <w:sz w:val="21"/>
                <w:szCs w:val="21"/>
                <w:highlight w:val="none"/>
                <w:lang w:eastAsia="zh-CN"/>
              </w:rPr>
              <w:t>生活垃圾混入粘土矿</w:t>
            </w:r>
            <w:r>
              <w:rPr>
                <w:rFonts w:hint="eastAsia" w:ascii="Times New Roman" w:hAnsi="Times New Roman" w:cs="Times New Roman"/>
                <w:color w:val="auto"/>
                <w:sz w:val="21"/>
                <w:szCs w:val="21"/>
                <w:highlight w:val="none"/>
                <w:lang w:eastAsia="zh-CN"/>
              </w:rPr>
              <w:t>，运输</w:t>
            </w:r>
            <w:r>
              <w:rPr>
                <w:rFonts w:ascii="Times New Roman" w:hAnsi="Times New Roman" w:cs="Times New Roman"/>
                <w:color w:val="auto"/>
                <w:sz w:val="21"/>
                <w:szCs w:val="21"/>
                <w:highlight w:val="none"/>
                <w:lang w:eastAsia="zh-CN"/>
              </w:rPr>
              <w:t>转移。</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通过采取上述措施后，项目施工期固体废物均得到妥善处置，不会对周围环境造成污染。</w:t>
            </w:r>
          </w:p>
          <w:p>
            <w:pPr>
              <w:pStyle w:val="18"/>
              <w:spacing w:line="360" w:lineRule="auto"/>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5、</w:t>
            </w:r>
            <w:r>
              <w:rPr>
                <w:rFonts w:hint="eastAsia" w:ascii="Times New Roman" w:hAnsi="Times New Roman" w:cs="Times New Roman" w:eastAsiaTheme="minorEastAsia"/>
                <w:b/>
                <w:bCs/>
                <w:color w:val="auto"/>
                <w:sz w:val="21"/>
                <w:szCs w:val="21"/>
                <w:highlight w:val="none"/>
                <w:lang w:eastAsia="zh-CN"/>
              </w:rPr>
              <w:t>运营期</w:t>
            </w:r>
            <w:r>
              <w:rPr>
                <w:rFonts w:ascii="Times New Roman" w:hAnsi="Times New Roman" w:cs="Times New Roman" w:eastAsiaTheme="minorEastAsia"/>
                <w:b/>
                <w:bCs/>
                <w:color w:val="auto"/>
                <w:sz w:val="21"/>
                <w:szCs w:val="21"/>
                <w:highlight w:val="none"/>
                <w:lang w:eastAsia="zh-CN"/>
              </w:rPr>
              <w:t>生态保护措施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为降低项目</w:t>
            </w:r>
            <w:r>
              <w:rPr>
                <w:rFonts w:hint="eastAsia" w:ascii="Times New Roman" w:hAnsi="Times New Roman" w:cs="Times New Roman"/>
                <w:color w:val="auto"/>
                <w:sz w:val="21"/>
                <w:szCs w:val="21"/>
                <w:highlight w:val="none"/>
                <w:lang w:eastAsia="zh-CN"/>
              </w:rPr>
              <w:t>运营期</w:t>
            </w:r>
            <w:r>
              <w:rPr>
                <w:rFonts w:ascii="Times New Roman" w:hAnsi="Times New Roman" w:cs="Times New Roman"/>
                <w:color w:val="auto"/>
                <w:sz w:val="21"/>
                <w:szCs w:val="21"/>
                <w:highlight w:val="none"/>
                <w:lang w:eastAsia="zh-CN"/>
              </w:rPr>
              <w:t>对区域生态的影响，采取如下措施：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（1）严格在采矿许可范围内开采，严禁超深、越界</w:t>
            </w:r>
            <w:r>
              <w:rPr>
                <w:rFonts w:ascii="Times New Roman" w:hAnsi="Times New Roman" w:cs="Times New Roman"/>
                <w:color w:val="auto"/>
                <w:sz w:val="21"/>
                <w:szCs w:val="21"/>
                <w:highlight w:val="none"/>
                <w:lang w:eastAsia="zh-CN"/>
              </w:rPr>
              <w:t>非法</w:t>
            </w:r>
            <w:r>
              <w:rPr>
                <w:rFonts w:hint="eastAsia" w:ascii="Times New Roman" w:hAnsi="Times New Roman" w:cs="Times New Roman"/>
                <w:color w:val="auto"/>
                <w:sz w:val="21"/>
                <w:szCs w:val="21"/>
                <w:highlight w:val="none"/>
                <w:lang w:eastAsia="zh-CN"/>
              </w:rPr>
              <w:t>开采</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禁止工作人员、机械设备、车辆等进入非许可</w:t>
            </w:r>
            <w:r>
              <w:rPr>
                <w:rFonts w:ascii="Times New Roman" w:hAnsi="Times New Roman" w:cs="Times New Roman"/>
                <w:color w:val="auto"/>
                <w:sz w:val="21"/>
                <w:szCs w:val="21"/>
                <w:highlight w:val="none"/>
                <w:lang w:eastAsia="zh-CN"/>
              </w:rPr>
              <w:t>范围</w:t>
            </w:r>
            <w:r>
              <w:rPr>
                <w:rFonts w:hint="eastAsia" w:ascii="Times New Roman" w:hAnsi="Times New Roman" w:cs="Times New Roman"/>
                <w:color w:val="auto"/>
                <w:sz w:val="21"/>
                <w:szCs w:val="21"/>
                <w:highlight w:val="none"/>
                <w:lang w:eastAsia="zh-CN"/>
              </w:rPr>
              <w:t>采挖</w:t>
            </w:r>
            <w:r>
              <w:rPr>
                <w:rFonts w:ascii="Times New Roman" w:hAnsi="Times New Roman" w:cs="Times New Roman"/>
                <w:color w:val="auto"/>
                <w:sz w:val="21"/>
                <w:szCs w:val="21"/>
                <w:highlight w:val="none"/>
                <w:lang w:eastAsia="zh-CN"/>
              </w:rPr>
              <w:t>、碾压</w:t>
            </w:r>
            <w:r>
              <w:rPr>
                <w:rFonts w:hint="eastAsia" w:ascii="Times New Roman" w:hAnsi="Times New Roman" w:cs="Times New Roman"/>
                <w:color w:val="auto"/>
                <w:sz w:val="21"/>
                <w:szCs w:val="21"/>
                <w:highlight w:val="none"/>
                <w:lang w:eastAsia="zh-CN"/>
              </w:rPr>
              <w:t>，最大限度减少对植被的破坏和动物的影响。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（2）车辆按照指定运输道路及路线行驶，禁止肆意碾压、</w:t>
            </w:r>
            <w:r>
              <w:rPr>
                <w:rFonts w:ascii="Times New Roman" w:hAnsi="Times New Roman" w:cs="Times New Roman"/>
                <w:color w:val="auto"/>
                <w:sz w:val="21"/>
                <w:szCs w:val="21"/>
                <w:highlight w:val="none"/>
                <w:lang w:eastAsia="zh-CN"/>
              </w:rPr>
              <w:t>随意行驶</w:t>
            </w:r>
            <w:r>
              <w:rPr>
                <w:rFonts w:hint="eastAsia" w:ascii="Times New Roman" w:hAnsi="Times New Roman" w:cs="Times New Roman"/>
                <w:color w:val="auto"/>
                <w:sz w:val="21"/>
                <w:szCs w:val="21"/>
                <w:highlight w:val="none"/>
                <w:lang w:eastAsia="zh-CN"/>
              </w:rPr>
              <w:t>，减少对地表植被的破坏。同时注意做好路面洒水等抑尘工作，防止运输扬尘对植被产生不利影响。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3）在开采过程中和开采完成后对不同土质采取不同的削坡方法。主要削坡方法有直线形、折线形、阶梯形、大平台形等4种形式。</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①直线形</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a</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适用于高度小于20m、结构紧密的均质土坡，或高度小于12m的非均质土坡。</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b</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从上到下，削成同一坡度，削坡后比原坡度减缓，达到该类土质的稳定坡度。</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c</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对有松散夹层的土坡，其松散部分应采取加固措施。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②折线形</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a</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适用于高12</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20m、结构比较松散的土坡，特别适用于上部结构较松散，下部结构较紧密的土坡。</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b</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重点是削缓上部，削坡后保持上部较缓、下部较陡的折线形。</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c</w:t>
            </w:r>
            <w:r>
              <w:rPr>
                <w:rFonts w:hint="eastAsia" w:ascii="Times New Roman" w:hAnsi="Times New Roman" w:cs="Times New Roman"/>
                <w:color w:val="auto"/>
                <w:sz w:val="21"/>
                <w:szCs w:val="21"/>
                <w:highlight w:val="none"/>
                <w:lang w:eastAsia="zh-CN"/>
              </w:rPr>
              <w:t xml:space="preserve">. </w:t>
            </w:r>
            <w:r>
              <w:rPr>
                <w:rFonts w:ascii="Times New Roman" w:hAnsi="Times New Roman" w:cs="Times New Roman"/>
                <w:color w:val="auto"/>
                <w:sz w:val="21"/>
                <w:szCs w:val="21"/>
                <w:highlight w:val="none"/>
                <w:lang w:eastAsia="zh-CN"/>
              </w:rPr>
              <w:t>上下部的高度和坡比，根据土坡高度与土质情况，具体分析确定，以削坡后能保证稳定安全为原则。</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③阶梯形</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a</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适用于高12m以上、结构较松散，或高202m以上、结构较紧密的均质土坡。</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b</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每一阶小平台的宽度和两平台间的高差，根据当地土质与暴雨径流情况，具体研究确定。一般小平台宽1.5</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2.0m，两台间高差6</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12m。干旱、半干旱地区，两台间高差大些；湿润、半湿润地区，两台间高差小些。</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c</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w:t>
            </w:r>
            <w:r>
              <w:rPr>
                <w:rFonts w:hint="eastAsia" w:ascii="Times New Roman" w:hAnsi="Times New Roman" w:cs="Times New Roman"/>
                <w:color w:val="auto"/>
                <w:sz w:val="21"/>
                <w:szCs w:val="21"/>
                <w:highlight w:val="none"/>
                <w:lang w:eastAsia="zh-CN"/>
              </w:rPr>
              <w:t>升级</w:t>
            </w:r>
            <w:r>
              <w:rPr>
                <w:rFonts w:ascii="Times New Roman" w:hAnsi="Times New Roman" w:cs="Times New Roman"/>
                <w:color w:val="auto"/>
                <w:sz w:val="21"/>
                <w:szCs w:val="21"/>
                <w:highlight w:val="none"/>
                <w:lang w:eastAsia="zh-CN"/>
              </w:rPr>
              <w:t>后应保证土坡稳定。</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④大平台形</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a</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适用于高度大于30m，或在8度以上高烈度地震区的土坡。</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b</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大平台一般开在土坡中部，宽4m以上。平台具体位置与尺寸，需根据《地震区建筑技术规范》对土质边坡高度的限制研究确定。</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c</w:t>
            </w:r>
            <w:r>
              <w:rPr>
                <w:rFonts w:hint="eastAsia" w:ascii="Times New Roman" w:hAnsi="Times New Roman" w:cs="Times New Roman"/>
                <w:color w:val="auto"/>
                <w:sz w:val="21"/>
                <w:szCs w:val="21"/>
                <w:highlight w:val="none"/>
                <w:lang w:eastAsia="zh-CN"/>
              </w:rPr>
              <w:t>.</w:t>
            </w:r>
            <w:r>
              <w:rPr>
                <w:rFonts w:ascii="Times New Roman" w:hAnsi="Times New Roman" w:cs="Times New Roman"/>
                <w:color w:val="auto"/>
                <w:sz w:val="21"/>
                <w:szCs w:val="21"/>
                <w:highlight w:val="none"/>
                <w:lang w:eastAsia="zh-CN"/>
              </w:rPr>
              <w:t xml:space="preserve"> 大平台尺寸基本确定后，需对边坡进行稳定性验算。</w:t>
            </w:r>
          </w:p>
          <w:p>
            <w:pPr>
              <w:pStyle w:val="18"/>
              <w:spacing w:line="360" w:lineRule="auto"/>
              <w:ind w:firstLine="420" w:firstLineChars="200"/>
              <w:jc w:val="both"/>
              <w:rPr>
                <w:rFonts w:hint="eastAsia"/>
                <w:color w:val="auto"/>
                <w:sz w:val="21"/>
                <w:szCs w:val="21"/>
                <w:highlight w:val="none"/>
                <w:lang w:eastAsia="zh-CN"/>
              </w:rPr>
            </w:pPr>
            <w:r>
              <w:rPr>
                <w:rFonts w:hint="eastAsia"/>
                <w:color w:val="auto"/>
                <w:sz w:val="21"/>
                <w:szCs w:val="21"/>
                <w:highlight w:val="none"/>
                <w:lang w:eastAsia="zh-CN"/>
              </w:rPr>
              <w:t>（4）分区治理</w:t>
            </w:r>
          </w:p>
          <w:p>
            <w:pPr>
              <w:pStyle w:val="18"/>
              <w:spacing w:line="360" w:lineRule="auto"/>
              <w:ind w:firstLine="420" w:firstLineChars="200"/>
              <w:jc w:val="both"/>
              <w:rPr>
                <w:rFonts w:hint="eastAsia"/>
                <w:color w:val="auto"/>
                <w:sz w:val="21"/>
                <w:szCs w:val="21"/>
                <w:highlight w:val="none"/>
                <w:lang w:eastAsia="zh-CN"/>
              </w:rPr>
            </w:pPr>
            <w:r>
              <w:rPr>
                <w:rFonts w:hint="eastAsia"/>
                <w:color w:val="auto"/>
                <w:sz w:val="21"/>
                <w:szCs w:val="21"/>
                <w:highlight w:val="none"/>
                <w:lang w:eastAsia="zh-CN"/>
              </w:rPr>
              <w:t>①重点区域</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主要包括露天采场，露天开采改变了原始地形地貌，对原始地形地貌影响程度严重。现状露天采场未损毁土地资源，现状评估对矿山地质环境影响较轻；预测露天采场开采面积4.1955公顷，预测评估对矿山地质环境影响严重。该区主要防治措施为：</w:t>
            </w:r>
          </w:p>
          <w:p>
            <w:pPr>
              <w:pStyle w:val="18"/>
              <w:spacing w:line="360" w:lineRule="auto"/>
              <w:ind w:firstLine="420" w:firstLineChars="200"/>
              <w:jc w:val="both"/>
              <w:rPr>
                <w:rFonts w:hint="default"/>
                <w:color w:val="auto"/>
                <w:sz w:val="21"/>
                <w:szCs w:val="21"/>
                <w:highlight w:val="none"/>
                <w:lang w:val="en-US" w:eastAsia="zh-CN"/>
              </w:rPr>
            </w:pPr>
            <w:r>
              <w:rPr>
                <w:rFonts w:hint="eastAsia"/>
                <w:color w:val="auto"/>
                <w:sz w:val="21"/>
                <w:szCs w:val="21"/>
                <w:highlight w:val="none"/>
                <w:lang w:val="en-US" w:eastAsia="zh-CN"/>
              </w:rPr>
              <w:t>a.生产期</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color w:val="auto"/>
              </w:rPr>
            </w:pPr>
            <w:r>
              <w:rPr>
                <w:rFonts w:hint="eastAsia" w:ascii="Times New Roman" w:hAnsi="Times New Roman" w:eastAsia="宋体" w:cs="Times New Roman"/>
                <w:color w:val="auto"/>
                <w:sz w:val="21"/>
                <w:szCs w:val="21"/>
                <w:highlight w:val="none"/>
                <w:lang w:val="en-US" w:eastAsia="zh-CN" w:bidi="ar-SA"/>
              </w:rPr>
              <w:t>采坑外围设置铁丝网、警示牌。防止非工作人员进入，开采期间严格按照开发利用方案设计开采，保持边坡稳定，并组织人员定期巡查。发现问题及时处理，防止地质灾害危害。</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b</w:t>
            </w:r>
            <w:r>
              <w:rPr>
                <w:rFonts w:hint="eastAsia"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 xml:space="preserve">开采结束后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对采坑进行削坡处理，边坡角小于30度，对场地进行平整。</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②次重点防治区</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主要包括表土堆放场、矿区道路等，一定程度上改变了评估区可视范围内的地貌景观，对原始地形地貌影响程度较严重。现状损毁面积</w:t>
            </w:r>
            <w:r>
              <w:rPr>
                <w:rFonts w:hint="eastAsia" w:ascii="Times New Roman" w:hAnsi="Times New Roman" w:cs="Times New Roman"/>
                <w:color w:val="auto"/>
                <w:sz w:val="21"/>
                <w:szCs w:val="21"/>
                <w:highlight w:val="none"/>
                <w:lang w:val="en-US" w:eastAsia="zh-CN" w:bidi="ar-SA"/>
              </w:rPr>
              <w:t>0.2260</w:t>
            </w:r>
            <w:r>
              <w:rPr>
                <w:rFonts w:hint="eastAsia" w:ascii="Times New Roman" w:hAnsi="Times New Roman" w:eastAsia="宋体" w:cs="Times New Roman"/>
                <w:color w:val="auto"/>
                <w:sz w:val="21"/>
                <w:szCs w:val="21"/>
                <w:highlight w:val="none"/>
                <w:lang w:val="en-US" w:eastAsia="zh-CN" w:bidi="ar-SA"/>
              </w:rPr>
              <w:t>公顷，现状评估对矿山地质环境影响较严重；预测损毁面积</w:t>
            </w:r>
            <w:r>
              <w:rPr>
                <w:rFonts w:hint="eastAsia" w:ascii="Times New Roman" w:hAnsi="Times New Roman" w:cs="Times New Roman"/>
                <w:color w:val="auto"/>
                <w:sz w:val="21"/>
                <w:szCs w:val="21"/>
                <w:highlight w:val="none"/>
                <w:lang w:val="en-US" w:eastAsia="zh-CN" w:bidi="ar-SA"/>
              </w:rPr>
              <w:t>0.2260</w:t>
            </w:r>
            <w:r>
              <w:rPr>
                <w:rFonts w:hint="eastAsia" w:ascii="Times New Roman" w:hAnsi="Times New Roman" w:eastAsia="宋体" w:cs="Times New Roman"/>
                <w:color w:val="auto"/>
                <w:sz w:val="21"/>
                <w:szCs w:val="21"/>
                <w:highlight w:val="none"/>
                <w:lang w:val="en-US" w:eastAsia="zh-CN" w:bidi="ar-SA"/>
              </w:rPr>
              <w:t>公顷，预测评估对矿山地质环境影响较严重。</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a</w:t>
            </w:r>
            <w:r>
              <w:rPr>
                <w:rFonts w:hint="eastAsia" w:ascii="Times New Roman" w:hAnsi="Times New Roman" w:cs="Times New Roman"/>
                <w:color w:val="auto"/>
                <w:sz w:val="21"/>
                <w:szCs w:val="21"/>
                <w:highlight w:val="none"/>
                <w:lang w:val="en-US" w:eastAsia="zh-CN" w:bidi="ar-SA"/>
              </w:rPr>
              <w:t>.</w:t>
            </w:r>
            <w:r>
              <w:rPr>
                <w:rFonts w:hint="eastAsia" w:ascii="Times New Roman" w:hAnsi="Times New Roman" w:eastAsia="宋体" w:cs="Times New Roman"/>
                <w:color w:val="auto"/>
                <w:sz w:val="21"/>
                <w:szCs w:val="21"/>
                <w:highlight w:val="none"/>
                <w:lang w:val="en-US" w:eastAsia="zh-CN" w:bidi="ar-SA"/>
              </w:rPr>
              <w:t xml:space="preserve">生产期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生产期间保持区内卫生。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b</w:t>
            </w:r>
            <w:r>
              <w:rPr>
                <w:rFonts w:hint="eastAsia" w:ascii="Times New Roman" w:hAnsi="Times New Roman" w:cs="Times New Roman"/>
                <w:color w:val="auto"/>
                <w:sz w:val="21"/>
                <w:szCs w:val="21"/>
                <w:highlight w:val="none"/>
                <w:lang w:val="en-US" w:eastAsia="zh-CN" w:bidi="ar-SA"/>
              </w:rPr>
              <w:t>.</w:t>
            </w:r>
            <w:r>
              <w:rPr>
                <w:rFonts w:hint="eastAsia" w:ascii="Times New Roman" w:hAnsi="Times New Roman" w:eastAsia="宋体" w:cs="Times New Roman"/>
                <w:color w:val="auto"/>
                <w:sz w:val="21"/>
                <w:szCs w:val="21"/>
                <w:highlight w:val="none"/>
                <w:lang w:val="en-US" w:eastAsia="zh-CN" w:bidi="ar-SA"/>
              </w:rPr>
              <w:t xml:space="preserve">开采结束后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对场地进行平整</w:t>
            </w:r>
            <w:r>
              <w:rPr>
                <w:rFonts w:hint="eastAsia" w:ascii="Times New Roman" w:hAnsi="Times New Roman" w:cs="Times New Roman"/>
                <w:color w:val="auto"/>
                <w:sz w:val="21"/>
                <w:szCs w:val="21"/>
                <w:highlight w:val="none"/>
                <w:lang w:val="en-US" w:eastAsia="zh-CN" w:bidi="ar-SA"/>
              </w:rPr>
              <w:t>，</w:t>
            </w:r>
            <w:r>
              <w:rPr>
                <w:rFonts w:hint="eastAsia" w:ascii="Times New Roman" w:hAnsi="Times New Roman" w:eastAsia="宋体" w:cs="Times New Roman"/>
                <w:color w:val="auto"/>
                <w:sz w:val="21"/>
                <w:szCs w:val="21"/>
                <w:highlight w:val="none"/>
                <w:lang w:val="en-US" w:eastAsia="zh-CN" w:bidi="ar-SA"/>
              </w:rPr>
              <w:t>与周边地貌相协调</w:t>
            </w:r>
            <w:r>
              <w:rPr>
                <w:rFonts w:hint="eastAsia" w:ascii="Times New Roman" w:hAnsi="Times New Roman" w:cs="Times New Roman"/>
                <w:color w:val="auto"/>
                <w:sz w:val="21"/>
                <w:szCs w:val="21"/>
                <w:highlight w:val="none"/>
                <w:lang w:val="en-US" w:eastAsia="zh-CN" w:bidi="ar-SA"/>
              </w:rPr>
              <w:t>。</w:t>
            </w:r>
          </w:p>
          <w:p>
            <w:pPr>
              <w:pStyle w:val="18"/>
              <w:spacing w:line="360" w:lineRule="auto"/>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6、</w:t>
            </w:r>
            <w:r>
              <w:rPr>
                <w:rFonts w:hint="eastAsia" w:ascii="Times New Roman" w:hAnsi="Times New Roman" w:cs="Times New Roman" w:eastAsiaTheme="minorEastAsia"/>
                <w:b/>
                <w:bCs/>
                <w:color w:val="auto"/>
                <w:sz w:val="21"/>
                <w:szCs w:val="21"/>
                <w:highlight w:val="none"/>
                <w:lang w:eastAsia="zh-CN"/>
              </w:rPr>
              <w:t>运营</w:t>
            </w:r>
            <w:r>
              <w:rPr>
                <w:rFonts w:ascii="Times New Roman" w:hAnsi="Times New Roman" w:cs="Times New Roman" w:eastAsiaTheme="minorEastAsia"/>
                <w:b/>
                <w:bCs/>
                <w:color w:val="auto"/>
                <w:sz w:val="21"/>
                <w:szCs w:val="21"/>
                <w:highlight w:val="none"/>
                <w:lang w:eastAsia="zh-CN"/>
              </w:rPr>
              <w:t>期水土流失防治措施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为减轻项目</w:t>
            </w:r>
            <w:r>
              <w:rPr>
                <w:rFonts w:hint="eastAsia" w:ascii="Times New Roman" w:hAnsi="Times New Roman" w:cs="Times New Roman"/>
                <w:color w:val="auto"/>
                <w:sz w:val="21"/>
                <w:szCs w:val="21"/>
                <w:highlight w:val="none"/>
                <w:lang w:eastAsia="zh-CN"/>
              </w:rPr>
              <w:t>开采</w:t>
            </w:r>
            <w:r>
              <w:rPr>
                <w:rFonts w:ascii="Times New Roman" w:hAnsi="Times New Roman" w:cs="Times New Roman"/>
                <w:color w:val="auto"/>
                <w:sz w:val="21"/>
                <w:szCs w:val="21"/>
                <w:highlight w:val="none"/>
                <w:lang w:eastAsia="zh-CN"/>
              </w:rPr>
              <w:t>引起的水土流失对生态环境造成影响，</w:t>
            </w:r>
            <w:r>
              <w:rPr>
                <w:rFonts w:hint="eastAsia" w:ascii="Times New Roman" w:hAnsi="Times New Roman" w:cs="Times New Roman"/>
                <w:color w:val="auto"/>
                <w:sz w:val="21"/>
                <w:szCs w:val="21"/>
                <w:highlight w:val="none"/>
                <w:lang w:eastAsia="zh-CN"/>
              </w:rPr>
              <w:t>建设单位</w:t>
            </w:r>
            <w:r>
              <w:rPr>
                <w:rFonts w:ascii="Times New Roman" w:hAnsi="Times New Roman" w:cs="Times New Roman"/>
                <w:color w:val="auto"/>
                <w:sz w:val="21"/>
                <w:szCs w:val="21"/>
                <w:highlight w:val="none"/>
                <w:lang w:eastAsia="zh-CN"/>
              </w:rPr>
              <w:t>应采取切实可行的水土流失防治措施加以控制：</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color w:val="auto"/>
                <w:sz w:val="21"/>
                <w:szCs w:val="21"/>
                <w:highlight w:val="none"/>
                <w:lang w:eastAsia="zh-CN"/>
              </w:rPr>
              <w:t>（1）</w:t>
            </w:r>
            <w:r>
              <w:rPr>
                <w:rFonts w:hint="eastAsia" w:ascii="Times New Roman" w:hAnsi="Times New Roman" w:cs="Times New Roman"/>
                <w:color w:val="auto"/>
                <w:sz w:val="21"/>
                <w:szCs w:val="21"/>
                <w:highlight w:val="none"/>
                <w:lang w:eastAsia="zh-CN"/>
              </w:rPr>
              <w:t>采矿</w:t>
            </w:r>
            <w:r>
              <w:rPr>
                <w:rFonts w:ascii="Times New Roman" w:hAnsi="Times New Roman" w:cs="Times New Roman"/>
                <w:color w:val="auto"/>
                <w:sz w:val="21"/>
                <w:szCs w:val="21"/>
                <w:highlight w:val="none"/>
                <w:lang w:eastAsia="zh-CN"/>
              </w:rPr>
              <w:t>作业尽量避开</w:t>
            </w:r>
            <w:r>
              <w:rPr>
                <w:rFonts w:hint="eastAsia" w:ascii="Times New Roman" w:hAnsi="Times New Roman" w:cs="Times New Roman"/>
                <w:color w:val="auto"/>
                <w:sz w:val="21"/>
                <w:szCs w:val="21"/>
                <w:highlight w:val="none"/>
                <w:lang w:eastAsia="zh-CN"/>
              </w:rPr>
              <w:t>4级</w:t>
            </w:r>
            <w:r>
              <w:rPr>
                <w:rFonts w:ascii="Times New Roman" w:hAnsi="Times New Roman" w:cs="Times New Roman"/>
                <w:color w:val="auto"/>
                <w:sz w:val="21"/>
                <w:szCs w:val="21"/>
                <w:highlight w:val="none"/>
                <w:lang w:eastAsia="zh-CN"/>
              </w:rPr>
              <w:t>大风和雨水天气。</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（2）采挖</w:t>
            </w:r>
            <w:r>
              <w:rPr>
                <w:rFonts w:ascii="Times New Roman" w:hAnsi="Times New Roman" w:cs="Times New Roman"/>
                <w:color w:val="auto"/>
                <w:sz w:val="21"/>
                <w:szCs w:val="21"/>
                <w:highlight w:val="none"/>
                <w:lang w:eastAsia="zh-CN"/>
              </w:rPr>
              <w:t>的粘土矿应及时转运，</w:t>
            </w:r>
            <w:r>
              <w:rPr>
                <w:rFonts w:hint="eastAsia" w:ascii="Times New Roman" w:hAnsi="Times New Roman" w:cs="Times New Roman"/>
                <w:color w:val="auto"/>
                <w:sz w:val="21"/>
                <w:szCs w:val="21"/>
                <w:highlight w:val="none"/>
                <w:lang w:eastAsia="zh-CN"/>
              </w:rPr>
              <w:t>尽可能减少疏松土壤的暴露时间。</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（3）采矿</w:t>
            </w:r>
            <w:r>
              <w:rPr>
                <w:rFonts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eastAsia="zh-CN"/>
              </w:rPr>
              <w:t>运输</w:t>
            </w:r>
            <w:r>
              <w:rPr>
                <w:rFonts w:ascii="Times New Roman" w:hAnsi="Times New Roman" w:cs="Times New Roman"/>
                <w:color w:val="auto"/>
                <w:sz w:val="21"/>
                <w:szCs w:val="21"/>
                <w:highlight w:val="none"/>
                <w:lang w:eastAsia="zh-CN"/>
              </w:rPr>
              <w:t>等环节配合洒水抑尘措施。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（4）开采区按照</w:t>
            </w:r>
            <w:r>
              <w:rPr>
                <w:rFonts w:ascii="Times New Roman" w:hAnsi="Times New Roman" w:cs="Times New Roman"/>
                <w:color w:val="auto"/>
                <w:sz w:val="21"/>
                <w:szCs w:val="21"/>
                <w:highlight w:val="none"/>
                <w:lang w:eastAsia="zh-CN"/>
              </w:rPr>
              <w:t>1:1.5的稳定边坡进行削坡开采，并按照水土保持要求增设马道，1横1竖进行布置，马道宽3m、长1000m。由于开采区限定</w:t>
            </w:r>
            <w:r>
              <w:rPr>
                <w:rFonts w:hint="eastAsia" w:ascii="Times New Roman" w:hAnsi="Times New Roman" w:cs="Times New Roman"/>
                <w:color w:val="auto"/>
                <w:sz w:val="21"/>
                <w:szCs w:val="21"/>
                <w:highlight w:val="none"/>
                <w:lang w:eastAsia="zh-CN"/>
              </w:rPr>
              <w:t>地</w:t>
            </w:r>
            <w:r>
              <w:rPr>
                <w:rFonts w:ascii="Times New Roman" w:hAnsi="Times New Roman" w:cs="Times New Roman"/>
                <w:color w:val="auto"/>
                <w:sz w:val="21"/>
                <w:szCs w:val="21"/>
                <w:highlight w:val="none"/>
                <w:lang w:eastAsia="zh-CN"/>
              </w:rPr>
              <w:t>最低开采标高，在露天开采方式下，开采区范围最终将形成多个的分层平台。并按1:1.5</w:t>
            </w:r>
            <w:r>
              <w:rPr>
                <w:rFonts w:hint="eastAsia" w:ascii="Times New Roman" w:hAnsi="Times New Roman" w:cs="Times New Roman"/>
                <w:color w:val="auto"/>
                <w:sz w:val="21"/>
                <w:szCs w:val="21"/>
                <w:highlight w:val="none"/>
                <w:lang w:eastAsia="zh-CN"/>
              </w:rPr>
              <w:t>地</w:t>
            </w:r>
            <w:r>
              <w:rPr>
                <w:rFonts w:ascii="Times New Roman" w:hAnsi="Times New Roman" w:cs="Times New Roman"/>
                <w:color w:val="auto"/>
                <w:sz w:val="21"/>
                <w:szCs w:val="21"/>
                <w:highlight w:val="none"/>
                <w:lang w:eastAsia="zh-CN"/>
              </w:rPr>
              <w:t>稳定边坡，进行</w:t>
            </w:r>
            <w:r>
              <w:rPr>
                <w:rFonts w:hint="eastAsia" w:ascii="Times New Roman" w:hAnsi="Times New Roman" w:cs="Times New Roman"/>
                <w:color w:val="auto"/>
                <w:sz w:val="21"/>
                <w:szCs w:val="21"/>
                <w:highlight w:val="none"/>
                <w:lang w:eastAsia="zh-CN"/>
              </w:rPr>
              <w:t>边坡修整</w:t>
            </w:r>
            <w:r>
              <w:rPr>
                <w:rFonts w:ascii="Times New Roman" w:hAnsi="Times New Roman" w:cs="Times New Roman"/>
                <w:color w:val="auto"/>
                <w:sz w:val="21"/>
                <w:szCs w:val="21"/>
                <w:highlight w:val="none"/>
                <w:lang w:eastAsia="zh-CN"/>
              </w:rPr>
              <w:t>。开采区周边和开采区内设置截排水沟，防治水土流失。</w:t>
            </w:r>
          </w:p>
          <w:p>
            <w:pPr>
              <w:pStyle w:val="18"/>
              <w:spacing w:line="360" w:lineRule="auto"/>
              <w:rPr>
                <w:rFonts w:ascii="Times New Roman" w:hAnsi="Times New Roman" w:cs="Times New Roman"/>
                <w:color w:val="auto"/>
                <w:sz w:val="21"/>
                <w:szCs w:val="21"/>
                <w:highlight w:val="none"/>
                <w:lang w:eastAsia="zh-CN"/>
              </w:rPr>
            </w:pPr>
            <w:r>
              <w:rPr>
                <w:rFonts w:hint="eastAsia" w:ascii="Times New Roman" w:hAnsi="Times New Roman" w:cs="Times New Roman" w:eastAsiaTheme="minorEastAsia"/>
                <w:b/>
                <w:bCs/>
                <w:color w:val="auto"/>
                <w:sz w:val="21"/>
                <w:szCs w:val="21"/>
                <w:highlight w:val="none"/>
                <w:lang w:eastAsia="zh-CN"/>
              </w:rPr>
              <w:t>7、</w:t>
            </w:r>
            <w:r>
              <w:rPr>
                <w:rFonts w:ascii="Times New Roman" w:hAnsi="Times New Roman" w:cs="Times New Roman" w:eastAsiaTheme="minorEastAsia"/>
                <w:b/>
                <w:bCs/>
                <w:color w:val="auto"/>
                <w:sz w:val="21"/>
                <w:szCs w:val="21"/>
                <w:highlight w:val="none"/>
                <w:lang w:eastAsia="zh-CN"/>
              </w:rPr>
              <w:t>闭矿期</w:t>
            </w:r>
            <w:r>
              <w:rPr>
                <w:rFonts w:hint="eastAsia" w:ascii="Times New Roman" w:hAnsi="Times New Roman" w:cs="Times New Roman" w:eastAsiaTheme="minorEastAsia"/>
                <w:b/>
                <w:bCs/>
                <w:color w:val="auto"/>
                <w:sz w:val="21"/>
                <w:szCs w:val="21"/>
                <w:highlight w:val="none"/>
                <w:lang w:eastAsia="zh-CN"/>
              </w:rPr>
              <w:t>生态恢复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矿产资源开发废弃地的恢复利用成为我国一项重要地增加土地资源的途径，也是一项生态保护的重要战略措施。项目在闭矿期，必须进行生态恢复，以恢复其生态环境功能，维持其</w:t>
            </w:r>
            <w:r>
              <w:rPr>
                <w:rFonts w:ascii="Times New Roman" w:hAnsi="Times New Roman" w:cs="Times New Roman"/>
                <w:color w:val="auto"/>
                <w:sz w:val="21"/>
                <w:szCs w:val="21"/>
                <w:highlight w:val="none"/>
                <w:lang w:eastAsia="zh-CN"/>
              </w:rPr>
              <w:t>稳定性和</w:t>
            </w:r>
            <w:r>
              <w:rPr>
                <w:rFonts w:hint="eastAsia" w:ascii="Times New Roman" w:hAnsi="Times New Roman" w:cs="Times New Roman"/>
                <w:color w:val="auto"/>
                <w:sz w:val="21"/>
                <w:szCs w:val="21"/>
                <w:highlight w:val="none"/>
                <w:lang w:eastAsia="zh-CN"/>
              </w:rPr>
              <w:t>可持续发展。</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根据《矿山生态环境保护与恢复治理技术规范（试行）》（</w:t>
            </w:r>
            <w:r>
              <w:rPr>
                <w:rFonts w:ascii="Times New Roman" w:hAnsi="Times New Roman" w:cs="Times New Roman"/>
                <w:color w:val="auto"/>
                <w:sz w:val="21"/>
                <w:szCs w:val="21"/>
                <w:highlight w:val="none"/>
                <w:lang w:eastAsia="zh-CN"/>
              </w:rPr>
              <w:t>HJ 651-2013）和《砂石行业绿色矿山建设规范》（DZ/T 0316-2018）的有关要求，建设单位必须委托有专业资质单位编制土地复垦方案，使开采活动对生态环境的不利影响降低</w:t>
            </w:r>
            <w:r>
              <w:rPr>
                <w:rFonts w:hint="eastAsia" w:ascii="Times New Roman" w:hAnsi="Times New Roman" w:cs="Times New Roman"/>
                <w:color w:val="auto"/>
                <w:sz w:val="21"/>
                <w:szCs w:val="21"/>
                <w:highlight w:val="none"/>
                <w:lang w:eastAsia="zh-CN"/>
              </w:rPr>
              <w:t>到最低程度</w:t>
            </w:r>
            <w:r>
              <w:rPr>
                <w:rFonts w:ascii="Times New Roman" w:hAnsi="Times New Roman" w:cs="Times New Roman"/>
                <w:color w:val="auto"/>
                <w:sz w:val="21"/>
                <w:szCs w:val="21"/>
                <w:highlight w:val="none"/>
                <w:lang w:eastAsia="zh-CN"/>
              </w:rPr>
              <w:t>。</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（1）生态恢复要求</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①优先保护，防治结合</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企业要遵循在开发中保护、在保护中开发地理念，坚持“边开采、边治理”的原则，从源头上控制生态环境的破坏，减少对生态环境影响。对矿产资源开发造成的生态功能破坏和环境污染，通过生物、工程和管理措施及时开展恢复治理。</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②</w:t>
            </w:r>
            <w:r>
              <w:rPr>
                <w:rFonts w:ascii="Times New Roman" w:hAnsi="Times New Roman" w:cs="Times New Roman"/>
                <w:color w:val="auto"/>
                <w:sz w:val="21"/>
                <w:szCs w:val="21"/>
                <w:highlight w:val="none"/>
                <w:lang w:eastAsia="zh-CN"/>
              </w:rPr>
              <w:t>景观相似，功能恢复</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根据粘土矿所处地区域、自然地理条件、生态恢复与环境治理的技术经济条件，按“整体生态功能恢复”和“景观相似性”原则，宜草则草，注重成效，因地制宜采取切实可行的恢复治理措施，恢复矿区整体生态功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③</w:t>
            </w:r>
            <w:r>
              <w:rPr>
                <w:rFonts w:ascii="Times New Roman" w:hAnsi="Times New Roman" w:cs="Times New Roman"/>
                <w:color w:val="auto"/>
                <w:sz w:val="21"/>
                <w:szCs w:val="21"/>
                <w:highlight w:val="none"/>
                <w:lang w:eastAsia="zh-CN"/>
              </w:rPr>
              <w:t>突出重点、</w:t>
            </w:r>
            <w:r>
              <w:rPr>
                <w:rFonts w:hint="eastAsia" w:ascii="Times New Roman" w:hAnsi="Times New Roman" w:cs="Times New Roman"/>
                <w:color w:val="auto"/>
                <w:sz w:val="21"/>
                <w:szCs w:val="21"/>
                <w:highlight w:val="none"/>
                <w:lang w:eastAsia="zh-CN"/>
              </w:rPr>
              <w:t>分步实施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坚持矿产资源开发与生态环境恢复治理同步进行，按照轻、重、缓、急，分步实施，优先抓好生态破坏与环境污染严重的重点恢复治理工程。以典型示范和以点带面的方式，有计划地推广试点经验，稳步推动方案的全面实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④</w:t>
            </w:r>
            <w:r>
              <w:rPr>
                <w:rFonts w:ascii="Times New Roman" w:hAnsi="Times New Roman" w:cs="Times New Roman"/>
                <w:color w:val="auto"/>
                <w:sz w:val="21"/>
                <w:szCs w:val="21"/>
                <w:highlight w:val="none"/>
                <w:lang w:eastAsia="zh-CN"/>
              </w:rPr>
              <w:t>科学引领，注重实效</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坚持科学性、前瞻性和实用性相统一的原则，鼓励广泛应用新技术、新方法，选择适宜的保护与治理方案，提高矿山生态环境保护和恢复治理成效和水平。</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（2）生态恢复措施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结合项目区地自然条件、自然资源、社会经济状况和区域经济的开发、建设、发展对环境保护综合治理的要求，按照因地制宜、因害设防、科学治理、保护开发并举，遏制项目的建设导致的生态环境的恶化。建设单位应采取以下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①高度重视原有地表对维护本区生态稳定的重要性，加强对工作人员的宣传、教育和管理。</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②采场等各类场地建设前，应视土壤类型对表土进行剥离并</w:t>
            </w:r>
            <w:r>
              <w:rPr>
                <w:rFonts w:ascii="Times New Roman" w:hAnsi="Times New Roman" w:cs="Times New Roman"/>
                <w:color w:val="auto"/>
                <w:sz w:val="21"/>
                <w:szCs w:val="21"/>
                <w:highlight w:val="none"/>
                <w:lang w:eastAsia="zh-CN"/>
              </w:rPr>
              <w:t>保存</w:t>
            </w:r>
            <w:r>
              <w:rPr>
                <w:rFonts w:hint="eastAsia" w:ascii="Times New Roman" w:hAnsi="Times New Roman" w:cs="Times New Roman"/>
                <w:color w:val="auto"/>
                <w:sz w:val="21"/>
                <w:szCs w:val="21"/>
                <w:highlight w:val="none"/>
                <w:lang w:eastAsia="zh-CN"/>
              </w:rPr>
              <w:t>，必要时应设置截排水沟、挡土墙等水土流失防治措施。</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③按照边开采边恢复、终止采矿活动时完成恢复治理的原则，要做到预防为主，针对存在的问题，制定出预防措施，对生产中出现的问题要及时采取相应的措施予以解决，达到防灾、减灾的目的。</w:t>
            </w:r>
          </w:p>
          <w:p>
            <w:pPr>
              <w:pStyle w:val="18"/>
              <w:spacing w:line="360" w:lineRule="auto"/>
              <w:ind w:firstLine="420" w:firstLineChars="200"/>
              <w:jc w:val="both"/>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④闭矿</w:t>
            </w:r>
            <w:r>
              <w:rPr>
                <w:rFonts w:ascii="Times New Roman" w:hAnsi="Times New Roman" w:cs="Times New Roman"/>
                <w:color w:val="auto"/>
                <w:sz w:val="21"/>
                <w:szCs w:val="21"/>
                <w:highlight w:val="none"/>
                <w:lang w:eastAsia="zh-CN"/>
              </w:rPr>
              <w:t>期应对</w:t>
            </w:r>
            <w:r>
              <w:rPr>
                <w:rFonts w:hint="eastAsia" w:ascii="Times New Roman" w:hAnsi="Times New Roman" w:cs="Times New Roman"/>
                <w:color w:val="auto"/>
                <w:sz w:val="21"/>
                <w:szCs w:val="21"/>
                <w:highlight w:val="none"/>
                <w:lang w:eastAsia="zh-CN"/>
              </w:rPr>
              <w:t>采坑</w:t>
            </w:r>
            <w:r>
              <w:rPr>
                <w:rFonts w:ascii="Times New Roman" w:hAnsi="Times New Roman" w:cs="Times New Roman"/>
                <w:color w:val="auto"/>
                <w:sz w:val="21"/>
                <w:szCs w:val="21"/>
                <w:highlight w:val="none"/>
                <w:lang w:eastAsia="zh-CN"/>
              </w:rPr>
              <w:t>进行回填，</w:t>
            </w:r>
            <w:r>
              <w:rPr>
                <w:rFonts w:hint="eastAsia" w:ascii="Times New Roman" w:hAnsi="Times New Roman" w:cs="Times New Roman"/>
                <w:color w:val="auto"/>
                <w:sz w:val="21"/>
                <w:szCs w:val="21"/>
                <w:highlight w:val="none"/>
                <w:lang w:eastAsia="zh-CN"/>
              </w:rPr>
              <w:t>回填</w:t>
            </w:r>
            <w:r>
              <w:rPr>
                <w:rFonts w:ascii="Times New Roman" w:hAnsi="Times New Roman" w:cs="Times New Roman"/>
                <w:color w:val="auto"/>
                <w:sz w:val="21"/>
                <w:szCs w:val="21"/>
                <w:highlight w:val="none"/>
                <w:lang w:eastAsia="zh-CN"/>
              </w:rPr>
              <w:t>方式为</w:t>
            </w:r>
            <w:r>
              <w:rPr>
                <w:rFonts w:hint="eastAsia" w:ascii="Times New Roman" w:hAnsi="Times New Roman" w:cs="Times New Roman"/>
                <w:color w:val="auto"/>
                <w:sz w:val="21"/>
                <w:szCs w:val="21"/>
                <w:highlight w:val="none"/>
                <w:lang w:eastAsia="zh-CN"/>
              </w:rPr>
              <w:t>剥离表土逐层回填，采矿</w:t>
            </w:r>
            <w:r>
              <w:rPr>
                <w:rFonts w:ascii="Times New Roman" w:hAnsi="Times New Roman" w:cs="Times New Roman"/>
                <w:color w:val="auto"/>
                <w:sz w:val="21"/>
                <w:szCs w:val="21"/>
                <w:highlight w:val="none"/>
                <w:lang w:eastAsia="zh-CN"/>
              </w:rPr>
              <w:t>迹地进行场地平整，</w:t>
            </w:r>
            <w:r>
              <w:rPr>
                <w:rFonts w:hint="eastAsia" w:ascii="Times New Roman" w:hAnsi="Times New Roman" w:cs="Times New Roman"/>
                <w:color w:val="auto"/>
                <w:sz w:val="21"/>
                <w:szCs w:val="21"/>
                <w:highlight w:val="none"/>
                <w:lang w:eastAsia="zh-CN"/>
              </w:rPr>
              <w:t>必要时</w:t>
            </w:r>
            <w:r>
              <w:rPr>
                <w:rFonts w:ascii="Times New Roman" w:hAnsi="Times New Roman" w:cs="Times New Roman"/>
                <w:color w:val="auto"/>
                <w:sz w:val="21"/>
                <w:szCs w:val="21"/>
                <w:highlight w:val="none"/>
                <w:lang w:eastAsia="zh-CN"/>
              </w:rPr>
              <w:t>购入种植土，为</w:t>
            </w:r>
            <w:r>
              <w:rPr>
                <w:rFonts w:hint="eastAsia" w:ascii="Times New Roman" w:hAnsi="Times New Roman" w:cs="Times New Roman"/>
                <w:color w:val="auto"/>
                <w:sz w:val="21"/>
                <w:szCs w:val="21"/>
                <w:highlight w:val="none"/>
                <w:lang w:eastAsia="zh-CN"/>
              </w:rPr>
              <w:t>植被</w:t>
            </w:r>
            <w:r>
              <w:rPr>
                <w:rFonts w:ascii="Times New Roman" w:hAnsi="Times New Roman" w:cs="Times New Roman"/>
                <w:color w:val="auto"/>
                <w:sz w:val="21"/>
                <w:szCs w:val="21"/>
                <w:highlight w:val="none"/>
                <w:lang w:eastAsia="zh-CN"/>
              </w:rPr>
              <w:t>立</w:t>
            </w:r>
            <w:r>
              <w:rPr>
                <w:rFonts w:hint="eastAsia" w:ascii="Times New Roman" w:hAnsi="Times New Roman" w:cs="Times New Roman"/>
                <w:color w:val="auto"/>
                <w:sz w:val="21"/>
                <w:szCs w:val="21"/>
                <w:highlight w:val="none"/>
                <w:lang w:eastAsia="zh-CN"/>
              </w:rPr>
              <w:t>地</w:t>
            </w:r>
            <w:r>
              <w:rPr>
                <w:rFonts w:ascii="Times New Roman" w:hAnsi="Times New Roman" w:cs="Times New Roman"/>
                <w:color w:val="auto"/>
                <w:sz w:val="21"/>
                <w:szCs w:val="21"/>
                <w:highlight w:val="none"/>
                <w:lang w:eastAsia="zh-CN"/>
              </w:rPr>
              <w:t>、生态复绿创造有利条件。</w:t>
            </w:r>
            <w:r>
              <w:rPr>
                <w:rFonts w:hint="eastAsia" w:ascii="Times New Roman" w:hAnsi="Times New Roman" w:cs="Times New Roman"/>
                <w:color w:val="auto"/>
                <w:sz w:val="21"/>
                <w:szCs w:val="21"/>
                <w:highlight w:val="none"/>
                <w:lang w:eastAsia="zh-CN"/>
              </w:rPr>
              <w:t>播撒适应当地气候、易</w:t>
            </w:r>
            <w:r>
              <w:rPr>
                <w:rFonts w:ascii="Times New Roman" w:hAnsi="Times New Roman" w:cs="Times New Roman"/>
                <w:color w:val="auto"/>
                <w:sz w:val="21"/>
                <w:szCs w:val="21"/>
                <w:highlight w:val="none"/>
                <w:lang w:eastAsia="zh-CN"/>
              </w:rPr>
              <w:t>存活、</w:t>
            </w:r>
            <w:r>
              <w:rPr>
                <w:rFonts w:hint="eastAsia" w:ascii="Times New Roman" w:hAnsi="Times New Roman" w:cs="Times New Roman"/>
                <w:color w:val="auto"/>
                <w:sz w:val="21"/>
                <w:szCs w:val="21"/>
                <w:highlight w:val="none"/>
                <w:lang w:eastAsia="zh-CN"/>
              </w:rPr>
              <w:t>防风固沙效果好的草籽，定期浇水养护。保证远期地表景观与周边环境相协调，生态环境无重大变化。</w:t>
            </w:r>
          </w:p>
          <w:p>
            <w:pPr>
              <w:pStyle w:val="18"/>
              <w:spacing w:line="360" w:lineRule="auto"/>
              <w:ind w:firstLine="420" w:firstLineChars="200"/>
              <w:jc w:val="both"/>
              <w:rPr>
                <w:rFonts w:hint="eastAsia" w:ascii="Times New Roman" w:hAnsi="Times New Roman"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bidi="ar-SA"/>
              </w:rPr>
              <w:t>⑤为了恢复原始土地利用类型，种植植被，需在场地表层覆盖0.20</w:t>
            </w:r>
            <w:r>
              <w:rPr>
                <w:rFonts w:hint="eastAsia" w:ascii="Times New Roman" w:hAnsi="Times New Roman" w:cs="Times New Roman"/>
                <w:color w:val="auto"/>
                <w:sz w:val="21"/>
                <w:szCs w:val="21"/>
                <w:highlight w:val="none"/>
                <w:lang w:val="en-US" w:eastAsia="zh-CN" w:bidi="ar-SA"/>
              </w:rPr>
              <w:t>m</w:t>
            </w:r>
            <w:r>
              <w:rPr>
                <w:rFonts w:hint="eastAsia" w:ascii="Times New Roman" w:hAnsi="Times New Roman" w:eastAsia="宋体" w:cs="Times New Roman"/>
                <w:color w:val="auto"/>
                <w:sz w:val="21"/>
                <w:szCs w:val="21"/>
                <w:highlight w:val="none"/>
                <w:lang w:val="en-US" w:eastAsia="zh-CN" w:bidi="ar-SA"/>
              </w:rPr>
              <w:t>覆土，并进行平整，与周边地貌相协调。对覆土后的场地播撒草籽进行复绿。通过天然降水自然复绿。复垦后植被覆盖率约 50%，管护期满后复垦为牧草地。种植方式采用人工撒播，每公顷播撒草籽50</w:t>
            </w:r>
            <w:r>
              <w:rPr>
                <w:rFonts w:hint="eastAsia" w:ascii="Times New Roman" w:hAnsi="Times New Roman" w:cs="Times New Roman"/>
                <w:color w:val="auto"/>
                <w:sz w:val="21"/>
                <w:szCs w:val="21"/>
                <w:highlight w:val="none"/>
                <w:lang w:val="en-US" w:eastAsia="zh-CN" w:bidi="ar-SA"/>
              </w:rPr>
              <w:t>kg</w:t>
            </w:r>
            <w:r>
              <w:rPr>
                <w:rFonts w:hint="eastAsia" w:ascii="Times New Roman" w:hAnsi="Times New Roman" w:eastAsia="宋体" w:cs="Times New Roman"/>
                <w:color w:val="auto"/>
                <w:sz w:val="21"/>
                <w:szCs w:val="21"/>
                <w:highlight w:val="none"/>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15" w:hRule="atLeast"/>
        </w:trPr>
        <w:tc>
          <w:tcPr>
            <w:tcW w:w="1003"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color w:val="auto"/>
                <w:sz w:val="21"/>
                <w:szCs w:val="21"/>
                <w:highlight w:val="none"/>
                <w:lang w:eastAsia="zh-CN"/>
              </w:rPr>
            </w:pPr>
            <w:r>
              <w:rPr>
                <w:rFonts w:ascii="Times New Roman" w:hAnsi="Times New Roman" w:cs="Times New Roman"/>
                <w:b/>
                <w:color w:val="auto"/>
                <w:sz w:val="21"/>
                <w:szCs w:val="21"/>
                <w:highlight w:val="none"/>
                <w:lang w:eastAsia="zh-CN"/>
              </w:rPr>
              <w:t>其他</w:t>
            </w:r>
          </w:p>
        </w:tc>
        <w:tc>
          <w:tcPr>
            <w:tcW w:w="8662" w:type="dxa"/>
            <w:tcBorders>
              <w:top w:val="single" w:color="000000" w:sz="4" w:space="0"/>
              <w:left w:val="single" w:color="000000" w:sz="4" w:space="0"/>
              <w:bottom w:val="single" w:color="000000" w:sz="4" w:space="0"/>
            </w:tcBorders>
          </w:tcPr>
          <w:p>
            <w:pPr>
              <w:pStyle w:val="18"/>
              <w:spacing w:before="120" w:beforeLines="50" w:line="360" w:lineRule="auto"/>
              <w:rPr>
                <w:rFonts w:ascii="Times New Roman" w:hAnsi="Times New Roman" w:cs="Times New Roman" w:eastAsiaTheme="minorEastAsia"/>
                <w:b/>
                <w:bCs/>
                <w:color w:val="auto"/>
                <w:sz w:val="21"/>
                <w:szCs w:val="21"/>
                <w:highlight w:val="none"/>
                <w:lang w:eastAsia="zh-CN"/>
              </w:rPr>
            </w:pPr>
            <w:r>
              <w:rPr>
                <w:rFonts w:ascii="Times New Roman" w:hAnsi="Times New Roman" w:cs="Times New Roman" w:eastAsiaTheme="minorEastAsia"/>
                <w:b/>
                <w:bCs/>
                <w:color w:val="auto"/>
                <w:sz w:val="21"/>
                <w:szCs w:val="21"/>
                <w:highlight w:val="none"/>
                <w:lang w:eastAsia="zh-CN"/>
              </w:rPr>
              <w:t>1、环境管理与监测计划</w:t>
            </w:r>
          </w:p>
          <w:p>
            <w:pPr>
              <w:pStyle w:val="18"/>
              <w:spacing w:line="360" w:lineRule="auto"/>
              <w:ind w:firstLine="420" w:firstLineChars="200"/>
              <w:jc w:val="both"/>
              <w:rPr>
                <w:rFonts w:ascii="Times New Roman" w:hAnsi="Times New Roman" w:eastAsia="MS Mincho" w:cs="Times New Roman"/>
                <w:color w:val="auto"/>
                <w:sz w:val="21"/>
                <w:szCs w:val="21"/>
                <w:highlight w:val="none"/>
                <w:lang w:eastAsia="ja-JP"/>
              </w:rPr>
            </w:pPr>
            <w:r>
              <w:rPr>
                <w:rFonts w:ascii="Times New Roman" w:hAnsi="Times New Roman" w:cs="Times New Roman"/>
                <w:color w:val="auto"/>
                <w:sz w:val="21"/>
                <w:szCs w:val="21"/>
                <w:highlight w:val="none"/>
                <w:lang w:eastAsia="ja-JP"/>
              </w:rPr>
              <w:t>（1）环境管理</w:t>
            </w:r>
          </w:p>
          <w:p>
            <w:pPr>
              <w:pStyle w:val="18"/>
              <w:spacing w:line="360" w:lineRule="auto"/>
              <w:ind w:firstLine="420" w:firstLineChars="200"/>
              <w:jc w:val="both"/>
              <w:rPr>
                <w:color w:val="auto"/>
                <w:sz w:val="21"/>
                <w:szCs w:val="21"/>
                <w:highlight w:val="none"/>
                <w:lang w:eastAsia="ja-JP"/>
              </w:rPr>
            </w:pPr>
            <w:r>
              <w:rPr>
                <w:rFonts w:hint="eastAsia"/>
                <w:color w:val="auto"/>
                <w:sz w:val="21"/>
                <w:szCs w:val="21"/>
                <w:highlight w:val="none"/>
                <w:lang w:eastAsia="ja-JP"/>
              </w:rPr>
              <w:t>项目运营期会对周围的自然环境和公众生活带来一定的影响，为了及时采取有效的环境保护措施减轻或消除不利影响，需要制定必要的环境管理要求。下面根据项目可能造成</w:t>
            </w:r>
            <w:r>
              <w:rPr>
                <w:rFonts w:hint="eastAsia"/>
                <w:color w:val="auto"/>
                <w:sz w:val="21"/>
                <w:szCs w:val="21"/>
                <w:highlight w:val="none"/>
                <w:lang w:eastAsia="zh-CN"/>
              </w:rPr>
              <w:t>地</w:t>
            </w:r>
            <w:r>
              <w:rPr>
                <w:rFonts w:hint="eastAsia"/>
                <w:color w:val="auto"/>
                <w:sz w:val="21"/>
                <w:szCs w:val="21"/>
                <w:highlight w:val="none"/>
                <w:lang w:eastAsia="ja-JP"/>
              </w:rPr>
              <w:t>环境影响和周围环境的要求，提出项目运营过程中的环境管理要求如下：</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①</w:t>
            </w:r>
            <w:r>
              <w:rPr>
                <w:rFonts w:ascii="Times New Roman" w:hAnsi="Times New Roman" w:cs="Times New Roman"/>
                <w:color w:val="auto"/>
                <w:sz w:val="21"/>
                <w:szCs w:val="21"/>
                <w:highlight w:val="none"/>
                <w:lang w:eastAsia="ja-JP"/>
              </w:rPr>
              <w:t>项目</w:t>
            </w:r>
            <w:r>
              <w:rPr>
                <w:rFonts w:hint="eastAsia" w:ascii="Times New Roman" w:hAnsi="Times New Roman" w:cs="Times New Roman"/>
                <w:color w:val="auto"/>
                <w:sz w:val="21"/>
                <w:szCs w:val="21"/>
                <w:highlight w:val="none"/>
                <w:lang w:eastAsia="zh-CN"/>
              </w:rPr>
              <w:t>开采</w:t>
            </w:r>
            <w:r>
              <w:rPr>
                <w:rFonts w:ascii="Times New Roman" w:hAnsi="Times New Roman" w:cs="Times New Roman"/>
                <w:color w:val="auto"/>
                <w:sz w:val="21"/>
                <w:szCs w:val="21"/>
                <w:highlight w:val="none"/>
                <w:lang w:eastAsia="ja-JP"/>
              </w:rPr>
              <w:t>必须严格贯彻</w:t>
            </w:r>
            <w:r>
              <w:rPr>
                <w:rFonts w:ascii="Times New Roman" w:hAnsi="Times New Roman" w:cs="Times New Roman"/>
                <w:color w:val="auto"/>
                <w:sz w:val="21"/>
                <w:szCs w:val="21"/>
                <w:highlight w:val="none"/>
                <w:lang w:eastAsia="zh-CN"/>
              </w:rPr>
              <w:t>落实</w:t>
            </w:r>
            <w:r>
              <w:rPr>
                <w:rFonts w:ascii="Times New Roman" w:hAnsi="Times New Roman" w:cs="Times New Roman"/>
                <w:color w:val="auto"/>
                <w:sz w:val="21"/>
                <w:szCs w:val="21"/>
                <w:highlight w:val="none"/>
                <w:lang w:eastAsia="ja-JP"/>
              </w:rPr>
              <w:t>国家有关环境保护的方针、政策、法律和法规，严格执行</w:t>
            </w:r>
            <w:r>
              <w:rPr>
                <w:rFonts w:hint="eastAsia" w:ascii="Times New Roman" w:hAnsi="Times New Roman" w:cs="Times New Roman"/>
                <w:color w:val="auto"/>
                <w:sz w:val="21"/>
                <w:szCs w:val="21"/>
                <w:highlight w:val="none"/>
                <w:lang w:eastAsia="zh-CN"/>
              </w:rPr>
              <w:t>运营</w:t>
            </w:r>
            <w:r>
              <w:rPr>
                <w:rFonts w:ascii="Times New Roman" w:hAnsi="Times New Roman" w:cs="Times New Roman"/>
                <w:color w:val="auto"/>
                <w:sz w:val="21"/>
                <w:szCs w:val="21"/>
                <w:highlight w:val="none"/>
                <w:lang w:eastAsia="ja-JP"/>
              </w:rPr>
              <w:t>期各项环保措施，把对环境的影响降到最低</w:t>
            </w:r>
            <w:r>
              <w:rPr>
                <w:rFonts w:hint="eastAsia" w:ascii="Times New Roman" w:hAnsi="Times New Roman" w:cs="Times New Roman"/>
                <w:color w:val="auto"/>
                <w:sz w:val="21"/>
                <w:szCs w:val="21"/>
                <w:highlight w:val="none"/>
                <w:lang w:eastAsia="zh-CN"/>
              </w:rPr>
              <w:t>。</w:t>
            </w:r>
          </w:p>
          <w:p>
            <w:pPr>
              <w:pStyle w:val="18"/>
              <w:spacing w:line="360" w:lineRule="auto"/>
              <w:ind w:firstLine="420" w:firstLineChars="200"/>
              <w:jc w:val="both"/>
              <w:rPr>
                <w:rFonts w:ascii="Times New Roman" w:hAnsi="Times New Roman" w:cs="Times New Roman"/>
                <w:color w:val="auto"/>
                <w:sz w:val="21"/>
                <w:szCs w:val="21"/>
                <w:highlight w:val="none"/>
                <w:lang w:eastAsia="ja-JP"/>
              </w:rPr>
            </w:pPr>
            <w:r>
              <w:rPr>
                <w:rFonts w:hint="eastAsia"/>
                <w:color w:val="auto"/>
                <w:sz w:val="21"/>
                <w:szCs w:val="21"/>
                <w:highlight w:val="none"/>
                <w:lang w:eastAsia="zh-CN"/>
              </w:rPr>
              <w:t>②</w:t>
            </w:r>
            <w:r>
              <w:rPr>
                <w:rFonts w:ascii="Times New Roman" w:hAnsi="Times New Roman" w:cs="Times New Roman"/>
                <w:color w:val="auto"/>
                <w:sz w:val="21"/>
                <w:szCs w:val="21"/>
                <w:highlight w:val="none"/>
                <w:lang w:eastAsia="zh-CN"/>
              </w:rPr>
              <w:t>强化</w:t>
            </w:r>
            <w:r>
              <w:rPr>
                <w:rFonts w:hint="eastAsia" w:ascii="Times New Roman" w:hAnsi="Times New Roman" w:cs="Times New Roman"/>
                <w:color w:val="auto"/>
                <w:sz w:val="21"/>
                <w:szCs w:val="21"/>
                <w:highlight w:val="none"/>
                <w:lang w:eastAsia="zh-CN"/>
              </w:rPr>
              <w:t>工作</w:t>
            </w:r>
            <w:r>
              <w:rPr>
                <w:rFonts w:ascii="Times New Roman" w:hAnsi="Times New Roman" w:cs="Times New Roman"/>
                <w:color w:val="auto"/>
                <w:sz w:val="21"/>
                <w:szCs w:val="21"/>
                <w:highlight w:val="none"/>
                <w:lang w:eastAsia="zh-CN"/>
              </w:rPr>
              <w:t>人员</w:t>
            </w:r>
            <w:r>
              <w:rPr>
                <w:rFonts w:ascii="Times New Roman" w:hAnsi="Times New Roman" w:cs="Times New Roman"/>
                <w:color w:val="auto"/>
                <w:sz w:val="21"/>
                <w:szCs w:val="21"/>
                <w:highlight w:val="none"/>
                <w:lang w:eastAsia="ja-JP"/>
              </w:rPr>
              <w:t>的环保意识，做好环境保护宣传工作。</w:t>
            </w:r>
          </w:p>
          <w:p>
            <w:pPr>
              <w:pStyle w:val="18"/>
              <w:spacing w:line="360" w:lineRule="auto"/>
              <w:ind w:firstLine="420" w:firstLineChars="200"/>
              <w:jc w:val="both"/>
              <w:rPr>
                <w:rFonts w:ascii="Times New Roman" w:hAnsi="Times New Roman" w:eastAsia="MS Mincho" w:cs="Times New Roman"/>
                <w:color w:val="auto"/>
                <w:sz w:val="21"/>
                <w:szCs w:val="21"/>
                <w:highlight w:val="none"/>
                <w:lang w:eastAsia="ja-JP"/>
              </w:rPr>
            </w:pPr>
            <w:r>
              <w:rPr>
                <w:rFonts w:hint="eastAsia"/>
                <w:color w:val="auto"/>
                <w:sz w:val="21"/>
                <w:szCs w:val="21"/>
                <w:highlight w:val="none"/>
                <w:lang w:eastAsia="zh-CN"/>
              </w:rPr>
              <w:t>③</w:t>
            </w:r>
            <w:r>
              <w:rPr>
                <w:rFonts w:ascii="Times New Roman" w:hAnsi="Times New Roman" w:cs="Times New Roman"/>
                <w:color w:val="auto"/>
                <w:sz w:val="21"/>
                <w:szCs w:val="21"/>
                <w:highlight w:val="none"/>
                <w:lang w:eastAsia="zh-CN"/>
              </w:rPr>
              <w:t>严格落实本环评提出的项目</w:t>
            </w:r>
            <w:r>
              <w:rPr>
                <w:rFonts w:hint="eastAsia" w:ascii="Times New Roman" w:hAnsi="Times New Roman" w:cs="Times New Roman"/>
                <w:color w:val="auto"/>
                <w:sz w:val="21"/>
                <w:szCs w:val="21"/>
                <w:highlight w:val="none"/>
                <w:lang w:eastAsia="zh-CN"/>
              </w:rPr>
              <w:t>运营期</w:t>
            </w:r>
            <w:r>
              <w:rPr>
                <w:rFonts w:ascii="Times New Roman" w:hAnsi="Times New Roman" w:cs="Times New Roman"/>
                <w:color w:val="auto"/>
                <w:sz w:val="21"/>
                <w:szCs w:val="21"/>
                <w:highlight w:val="none"/>
                <w:lang w:eastAsia="zh-CN"/>
              </w:rPr>
              <w:t>各项环保措施</w:t>
            </w:r>
            <w:r>
              <w:rPr>
                <w:rFonts w:ascii="Times New Roman" w:hAnsi="Times New Roman" w:cs="Times New Roman"/>
                <w:color w:val="auto"/>
                <w:sz w:val="21"/>
                <w:szCs w:val="21"/>
                <w:highlight w:val="none"/>
                <w:lang w:eastAsia="ja-JP"/>
              </w:rPr>
              <w:t>，并接受生态环境主管部门的监督和指导。</w:t>
            </w:r>
          </w:p>
          <w:p>
            <w:pPr>
              <w:pStyle w:val="18"/>
              <w:spacing w:line="360" w:lineRule="auto"/>
              <w:ind w:firstLine="420" w:firstLineChars="200"/>
              <w:rPr>
                <w:rFonts w:ascii="Times New Roman" w:hAnsi="Times New Roman" w:eastAsia="MS Mincho" w:cs="Times New Roman"/>
                <w:color w:val="auto"/>
                <w:sz w:val="21"/>
                <w:szCs w:val="21"/>
                <w:highlight w:val="none"/>
                <w:lang w:eastAsia="ja-JP"/>
              </w:rPr>
            </w:pPr>
            <w:r>
              <w:rPr>
                <w:rFonts w:ascii="Times New Roman" w:hAnsi="Times New Roman" w:cs="Times New Roman"/>
                <w:color w:val="auto"/>
                <w:sz w:val="21"/>
                <w:szCs w:val="21"/>
                <w:highlight w:val="none"/>
                <w:lang w:eastAsia="ja-JP"/>
              </w:rPr>
              <w:t>（2）</w:t>
            </w:r>
            <w:r>
              <w:rPr>
                <w:rFonts w:ascii="Times New Roman" w:hAnsi="Times New Roman" w:cs="Times New Roman"/>
                <w:color w:val="auto"/>
                <w:sz w:val="21"/>
                <w:szCs w:val="21"/>
                <w:highlight w:val="none"/>
                <w:lang w:eastAsia="zh-CN"/>
              </w:rPr>
              <w:t>监测</w:t>
            </w:r>
            <w:r>
              <w:rPr>
                <w:rFonts w:ascii="Times New Roman" w:hAnsi="Times New Roman" w:cs="Times New Roman"/>
                <w:color w:val="auto"/>
                <w:sz w:val="21"/>
                <w:szCs w:val="21"/>
                <w:highlight w:val="none"/>
                <w:lang w:eastAsia="ja-JP"/>
              </w:rPr>
              <w:t>计划</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运营期，根据项目排污特点及自身实际情况，企业需建立健全各项监测制度并保障其实施，监测分析方法按照生态环境部颁布的现行标准和有关规定执行。监测工作由建设单位按照《排污单位自行监测技术指南</w:t>
            </w:r>
            <w:r>
              <w:rPr>
                <w:rFonts w:ascii="Times New Roman" w:hAnsi="Times New Roman" w:cs="Times New Roman"/>
                <w:color w:val="auto"/>
                <w:sz w:val="21"/>
                <w:szCs w:val="21"/>
                <w:highlight w:val="none"/>
                <w:lang w:eastAsia="zh-CN"/>
              </w:rPr>
              <w:t xml:space="preserve">  </w:t>
            </w:r>
            <w:r>
              <w:rPr>
                <w:rFonts w:hint="eastAsia" w:ascii="Times New Roman" w:hAnsi="Times New Roman" w:cs="Times New Roman"/>
                <w:color w:val="auto"/>
                <w:sz w:val="21"/>
                <w:szCs w:val="21"/>
                <w:highlight w:val="none"/>
                <w:lang w:eastAsia="zh-CN"/>
              </w:rPr>
              <w:t>总则》（</w:t>
            </w:r>
            <w:r>
              <w:rPr>
                <w:rFonts w:ascii="Times New Roman" w:hAnsi="Times New Roman" w:cs="Times New Roman"/>
                <w:color w:val="auto"/>
                <w:sz w:val="21"/>
                <w:szCs w:val="21"/>
                <w:highlight w:val="none"/>
                <w:lang w:eastAsia="zh-CN"/>
              </w:rPr>
              <w:t>HG 819-2017）相关要求自行</w:t>
            </w:r>
            <w:r>
              <w:rPr>
                <w:rFonts w:hint="eastAsia" w:ascii="Times New Roman" w:hAnsi="Times New Roman" w:cs="Times New Roman"/>
                <w:color w:val="auto"/>
                <w:sz w:val="21"/>
                <w:szCs w:val="21"/>
                <w:highlight w:val="none"/>
                <w:lang w:eastAsia="zh-CN"/>
              </w:rPr>
              <w:t>监测，建设单位如不具备监测技术和条件，可委托第三方</w:t>
            </w:r>
            <w:r>
              <w:rPr>
                <w:rFonts w:ascii="Times New Roman" w:hAnsi="Times New Roman" w:cs="Times New Roman"/>
                <w:color w:val="auto"/>
                <w:sz w:val="21"/>
                <w:szCs w:val="21"/>
                <w:highlight w:val="none"/>
                <w:lang w:eastAsia="zh-CN"/>
              </w:rPr>
              <w:t>有</w:t>
            </w:r>
            <w:r>
              <w:rPr>
                <w:rFonts w:hint="eastAsia" w:ascii="Times New Roman" w:hAnsi="Times New Roman" w:cs="Times New Roman"/>
                <w:color w:val="auto"/>
                <w:sz w:val="21"/>
                <w:szCs w:val="21"/>
                <w:highlight w:val="none"/>
                <w:lang w:eastAsia="zh-CN"/>
              </w:rPr>
              <w:t>资质单位进行监测。本项目监测计划见表</w:t>
            </w:r>
            <w:r>
              <w:rPr>
                <w:rFonts w:hint="eastAsia" w:ascii="Times New Roman" w:hAnsi="Times New Roman" w:cs="Times New Roman"/>
                <w:color w:val="auto"/>
                <w:sz w:val="21"/>
                <w:szCs w:val="21"/>
                <w:highlight w:val="none"/>
                <w:lang w:val="en-US" w:eastAsia="zh-CN"/>
              </w:rPr>
              <w:t>5-1</w:t>
            </w:r>
            <w:r>
              <w:rPr>
                <w:rFonts w:ascii="Times New Roman" w:hAnsi="Times New Roman" w:cs="Times New Roman"/>
                <w:color w:val="auto"/>
                <w:sz w:val="21"/>
                <w:szCs w:val="21"/>
                <w:highlight w:val="none"/>
                <w:lang w:eastAsia="zh-CN"/>
              </w:rPr>
              <w:t>。</w:t>
            </w:r>
          </w:p>
          <w:p>
            <w:pPr>
              <w:pStyle w:val="18"/>
              <w:jc w:val="center"/>
              <w:rPr>
                <w:rFonts w:ascii="Times New Roman" w:hAnsi="Times New Roman" w:cs="Times New Roman"/>
                <w:color w:val="auto"/>
                <w:sz w:val="21"/>
                <w:szCs w:val="21"/>
                <w:highlight w:val="none"/>
                <w:lang w:eastAsia="zh-CN"/>
              </w:rPr>
            </w:pPr>
            <w:r>
              <w:rPr>
                <w:rFonts w:hint="eastAsia" w:ascii="Times New Roman" w:hAnsi="Times New Roman" w:cs="Times New Roman"/>
                <w:b/>
                <w:bCs/>
                <w:color w:val="auto"/>
                <w:sz w:val="21"/>
                <w:szCs w:val="21"/>
                <w:highlight w:val="none"/>
                <w:lang w:eastAsia="zh-CN"/>
              </w:rPr>
              <w:t>表</w:t>
            </w:r>
            <w:r>
              <w:rPr>
                <w:rFonts w:hint="eastAsia" w:ascii="Times New Roman" w:hAnsi="Times New Roman" w:cs="Times New Roman"/>
                <w:b/>
                <w:bCs/>
                <w:color w:val="auto"/>
                <w:sz w:val="21"/>
                <w:szCs w:val="21"/>
                <w:highlight w:val="none"/>
                <w:lang w:val="en-US" w:eastAsia="zh-CN"/>
              </w:rPr>
              <w:t>5-1</w:t>
            </w:r>
            <w:r>
              <w:rPr>
                <w:rFonts w:ascii="Times New Roman" w:hAnsi="Times New Roman" w:cs="Times New Roman"/>
                <w:b/>
                <w:bCs/>
                <w:color w:val="auto"/>
                <w:sz w:val="21"/>
                <w:szCs w:val="21"/>
                <w:highlight w:val="none"/>
                <w:lang w:eastAsia="zh-CN"/>
              </w:rPr>
              <w:t xml:space="preserve">    </w:t>
            </w:r>
            <w:r>
              <w:rPr>
                <w:rFonts w:hint="eastAsia" w:ascii="Times New Roman" w:hAnsi="Times New Roman" w:cs="Times New Roman"/>
                <w:b/>
                <w:bCs/>
                <w:color w:val="auto"/>
                <w:sz w:val="21"/>
                <w:szCs w:val="21"/>
                <w:highlight w:val="none"/>
                <w:lang w:eastAsia="zh-CN"/>
              </w:rPr>
              <w:t>项目监测计划表</w:t>
            </w:r>
          </w:p>
          <w:tbl>
            <w:tblPr>
              <w:tblStyle w:val="14"/>
              <w:tblW w:w="8299"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200"/>
              <w:gridCol w:w="2107"/>
              <w:gridCol w:w="2747"/>
              <w:gridCol w:w="224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71" w:hRule="atLeast"/>
                <w:jc w:val="center"/>
              </w:trPr>
              <w:tc>
                <w:tcPr>
                  <w:tcW w:w="1200" w:type="dxa"/>
                  <w:tcBorders>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污染物</w:t>
                  </w:r>
                </w:p>
              </w:tc>
              <w:tc>
                <w:tcPr>
                  <w:tcW w:w="2107" w:type="dxa"/>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监测对象点位</w:t>
                  </w:r>
                </w:p>
              </w:tc>
              <w:tc>
                <w:tcPr>
                  <w:tcW w:w="2747" w:type="dxa"/>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监测项目</w:t>
                  </w:r>
                </w:p>
              </w:tc>
              <w:tc>
                <w:tcPr>
                  <w:tcW w:w="2245" w:type="dxa"/>
                  <w:tcBorders>
                    <w:left w:val="single" w:color="auto" w:sz="4" w:space="0"/>
                    <w:bottom w:val="single" w:color="auto" w:sz="4" w:space="0"/>
                  </w:tcBorders>
                  <w:tcMar>
                    <w:top w:w="0" w:type="dxa"/>
                    <w:left w:w="0" w:type="dxa"/>
                    <w:bottom w:w="0" w:type="dxa"/>
                    <w:right w:w="0" w:type="dxa"/>
                  </w:tcMar>
                  <w:vAlign w:val="center"/>
                </w:tcPr>
                <w:p>
                  <w:pPr>
                    <w:jc w:val="center"/>
                    <w:rPr>
                      <w:rFonts w:ascii="Times New Roman" w:hAnsi="Times New Roman" w:cs="Times New Roman"/>
                      <w:b/>
                      <w:bCs/>
                      <w:color w:val="auto"/>
                      <w:sz w:val="21"/>
                      <w:szCs w:val="21"/>
                      <w:highlight w:val="none"/>
                      <w:lang w:eastAsia="zh-CN"/>
                    </w:rPr>
                  </w:pPr>
                  <w:r>
                    <w:rPr>
                      <w:rFonts w:ascii="Times New Roman" w:hAnsi="Times New Roman" w:cs="Times New Roman"/>
                      <w:b/>
                      <w:bCs/>
                      <w:color w:val="auto"/>
                      <w:sz w:val="21"/>
                      <w:szCs w:val="21"/>
                      <w:highlight w:val="none"/>
                      <w:lang w:eastAsia="zh-CN"/>
                    </w:rPr>
                    <w:t>监测频率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71" w:hRule="atLeast"/>
                <w:jc w:val="center"/>
              </w:trPr>
              <w:tc>
                <w:tcPr>
                  <w:tcW w:w="1200" w:type="dxa"/>
                  <w:tcBorders>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废气</w:t>
                  </w:r>
                </w:p>
              </w:tc>
              <w:tc>
                <w:tcPr>
                  <w:tcW w:w="21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厂界</w:t>
                  </w:r>
                </w:p>
              </w:tc>
              <w:tc>
                <w:tcPr>
                  <w:tcW w:w="27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 xml:space="preserve">TSP </w:t>
                  </w:r>
                </w:p>
              </w:tc>
              <w:tc>
                <w:tcPr>
                  <w:tcW w:w="2245" w:type="dxa"/>
                  <w:tcBorders>
                    <w:top w:val="single" w:color="auto" w:sz="4" w:space="0"/>
                    <w:left w:val="single" w:color="auto" w:sz="4" w:space="0"/>
                    <w:bottom w:val="single" w:color="auto" w:sz="4" w:space="0"/>
                  </w:tcBorders>
                  <w:tcMar>
                    <w:top w:w="0" w:type="dxa"/>
                    <w:left w:w="0" w:type="dxa"/>
                    <w:bottom w:w="0" w:type="dxa"/>
                    <w:right w:w="0" w:type="dxa"/>
                  </w:tcMar>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1次／年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6" w:hRule="atLeast"/>
                <w:jc w:val="center"/>
              </w:trPr>
              <w:tc>
                <w:tcPr>
                  <w:tcW w:w="1200" w:type="dxa"/>
                  <w:tcBorders>
                    <w:top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噪声</w:t>
                  </w:r>
                </w:p>
              </w:tc>
              <w:tc>
                <w:tcPr>
                  <w:tcW w:w="2107"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厂界</w:t>
                  </w:r>
                  <w:r>
                    <w:rPr>
                      <w:rFonts w:hint="eastAsia" w:ascii="Times New Roman" w:hAnsi="Times New Roman" w:cs="Times New Roman"/>
                      <w:color w:val="auto"/>
                      <w:sz w:val="21"/>
                      <w:szCs w:val="21"/>
                      <w:highlight w:val="none"/>
                      <w:lang w:eastAsia="zh-CN"/>
                    </w:rPr>
                    <w:t>四周</w:t>
                  </w:r>
                </w:p>
              </w:tc>
              <w:tc>
                <w:tcPr>
                  <w:tcW w:w="2747"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等效连续A声级</w:t>
                  </w:r>
                </w:p>
              </w:tc>
              <w:tc>
                <w:tcPr>
                  <w:tcW w:w="2245" w:type="dxa"/>
                  <w:tcBorders>
                    <w:top w:val="single" w:color="auto" w:sz="4" w:space="0"/>
                    <w:left w:val="single" w:color="auto" w:sz="4" w:space="0"/>
                  </w:tcBorders>
                  <w:tcMar>
                    <w:top w:w="0" w:type="dxa"/>
                    <w:left w:w="0" w:type="dxa"/>
                    <w:bottom w:w="0" w:type="dxa"/>
                    <w:right w:w="0" w:type="dxa"/>
                  </w:tcMar>
                  <w:vAlign w:val="center"/>
                </w:tcPr>
                <w:p>
                  <w:pPr>
                    <w:widowControl/>
                    <w:jc w:val="center"/>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1次／年</w:t>
                  </w:r>
                </w:p>
              </w:tc>
            </w:tr>
          </w:tbl>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Times New Roman" w:hAnsi="Times New Roman" w:eastAsia="宋体" w:cs="Times New Roman"/>
                <w:b/>
                <w:bCs/>
                <w:color w:val="auto"/>
                <w:sz w:val="21"/>
                <w:szCs w:val="21"/>
                <w:highlight w:val="none"/>
                <w:lang w:val="en-US" w:eastAsia="zh-CN" w:bidi="ar-SA"/>
              </w:rPr>
            </w:pPr>
            <w:r>
              <w:rPr>
                <w:rFonts w:hint="eastAsia" w:ascii="Times New Roman" w:hAnsi="Times New Roman" w:eastAsia="宋体" w:cs="Times New Roman"/>
                <w:b/>
                <w:bCs/>
                <w:color w:val="auto"/>
                <w:sz w:val="21"/>
                <w:szCs w:val="21"/>
                <w:highlight w:val="none"/>
                <w:lang w:val="en-US" w:eastAsia="zh-CN" w:bidi="ar-SA"/>
              </w:rPr>
              <w:t>2、矿区土地复垦监测和管护</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（1）监测措施和内容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土地复垦监测是对土地复垦区域内复垦前后的土地利用状况的动态变化进行定期或不定期的监测管理。其目的在于为国家和地区有关部门提供准确</w:t>
            </w:r>
            <w:r>
              <w:rPr>
                <w:rFonts w:hint="eastAsia" w:ascii="Times New Roman" w:hAnsi="Times New Roman" w:cs="Times New Roman"/>
                <w:color w:val="auto"/>
                <w:sz w:val="21"/>
                <w:szCs w:val="21"/>
                <w:highlight w:val="none"/>
                <w:lang w:val="en-US" w:eastAsia="zh-CN" w:bidi="ar-SA"/>
              </w:rPr>
              <w:t>地</w:t>
            </w:r>
            <w:r>
              <w:rPr>
                <w:rFonts w:hint="eastAsia" w:ascii="Times New Roman" w:hAnsi="Times New Roman" w:eastAsia="宋体" w:cs="Times New Roman"/>
                <w:color w:val="auto"/>
                <w:sz w:val="21"/>
                <w:szCs w:val="21"/>
                <w:highlight w:val="none"/>
                <w:lang w:val="en-US" w:eastAsia="zh-CN" w:bidi="ar-SA"/>
              </w:rPr>
              <w:t xml:space="preserve">土地复垦后利用变化情况，便于及时进行土地利用数据更新与对比分析。土地复垦监测重点是土壤属性、地形、水文（水质）、土地的投入产出水平等指标与复垦前相比较，为土地复垦项目达标验收提供科学依据。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土地复垦监测措施主要包括：土地损毁监测和复垦效果监测。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1）土地损毁监测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监测内容：主要包括复垦区损毁土地的监测，对露天采场、表土堆放场、矿区道路等对比分析，掌握损毁土地情况。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监测方法：主要针对土地资源损毁变化处，对比损毁范围的变化。本方案采用无人机监测地形地貌景观的变化，监测对象主要为露天采场、矿区道路，监测频率为1次/年，同地形地貌监测，监测周期为生产服务期。土地损毁情况进行监测，记录土地损毁范围、面积、权属等，并与预测结果进行对比分析，掌握损毁土地情况。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2）复垦效果监测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在复垦期间监测复垦工作进度是否按设计进行、监测各复垦工作是否按设计规范要求进行及平整度、坡度等是否满足质量标准。本方案采用定人定期巡视方法，监测范围为复垦责任范围，监测频率为1次/每月，监测期3个月，共监测3次，发现问题及时整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（2）管护期复垦工程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 xml:space="preserve">管护内容：矿山复垦方向为天然牧草地，且项目区生态环境脆弱，管护期主要是对矿区植被覆盖度进行监测和管护。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管护时长：本项目设计的管护期为3年。</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管护方法：为保证复垦效果，管护期内设计对复垦区草地进行补种，种植植被面积为</w:t>
            </w:r>
            <w:r>
              <w:rPr>
                <w:rFonts w:hint="eastAsia" w:ascii="Times New Roman" w:hAnsi="Times New Roman" w:cs="Times New Roman"/>
                <w:color w:val="auto"/>
                <w:sz w:val="21"/>
                <w:szCs w:val="21"/>
                <w:highlight w:val="none"/>
                <w:lang w:val="en-US" w:eastAsia="zh-CN" w:bidi="ar-SA"/>
              </w:rPr>
              <w:t>2.8716</w:t>
            </w:r>
            <w:r>
              <w:rPr>
                <w:rFonts w:hint="eastAsia" w:ascii="Times New Roman" w:hAnsi="Times New Roman" w:eastAsia="宋体" w:cs="Times New Roman"/>
                <w:color w:val="auto"/>
                <w:sz w:val="21"/>
                <w:szCs w:val="21"/>
                <w:highlight w:val="none"/>
                <w:lang w:val="en-US" w:eastAsia="zh-CN" w:bidi="ar-SA"/>
              </w:rPr>
              <w:t>公顷，本项目种植草种成活率按70%考虑，即管护期第一年补种为播草籽的30%，第二年为第一年播草籽的30%，第三年为第二年播草籽的30%，补种面积合计为</w:t>
            </w:r>
            <w:r>
              <w:rPr>
                <w:rFonts w:hint="eastAsia" w:ascii="Times New Roman" w:hAnsi="Times New Roman" w:cs="Times New Roman"/>
                <w:color w:val="auto"/>
                <w:sz w:val="21"/>
                <w:szCs w:val="21"/>
                <w:highlight w:val="none"/>
                <w:lang w:val="en-US" w:eastAsia="zh-CN" w:bidi="ar-SA"/>
              </w:rPr>
              <w:t>1.1970</w:t>
            </w:r>
            <w:r>
              <w:rPr>
                <w:rFonts w:hint="eastAsia" w:ascii="Times New Roman" w:hAnsi="Times New Roman" w:eastAsia="宋体" w:cs="Times New Roman"/>
                <w:color w:val="auto"/>
                <w:sz w:val="21"/>
                <w:szCs w:val="21"/>
                <w:highlight w:val="none"/>
                <w:lang w:val="en-US" w:eastAsia="zh-CN" w:bidi="ar-SA"/>
              </w:rPr>
              <w:t>公顷。</w:t>
            </w:r>
          </w:p>
          <w:p>
            <w:pPr>
              <w:pStyle w:val="18"/>
              <w:spacing w:line="360" w:lineRule="auto"/>
              <w:rPr>
                <w:rFonts w:ascii="Times New Roman" w:hAnsi="Times New Roman" w:eastAsia="MS Mincho" w:cs="Times New Roman"/>
                <w:color w:val="auto"/>
                <w:sz w:val="21"/>
                <w:szCs w:val="21"/>
                <w:highlight w:val="none"/>
                <w:lang w:eastAsia="ja-JP"/>
              </w:rPr>
            </w:pPr>
            <w:r>
              <w:rPr>
                <w:rFonts w:hint="eastAsia" w:ascii="Times New Roman" w:hAnsi="Times New Roman" w:cs="Times New Roman" w:eastAsiaTheme="minorEastAsia"/>
                <w:b/>
                <w:bCs/>
                <w:color w:val="auto"/>
                <w:sz w:val="21"/>
                <w:szCs w:val="21"/>
                <w:highlight w:val="none"/>
                <w:lang w:val="en-US" w:eastAsia="zh-CN"/>
              </w:rPr>
              <w:t>3</w:t>
            </w:r>
            <w:r>
              <w:rPr>
                <w:rFonts w:ascii="Times New Roman" w:hAnsi="Times New Roman" w:cs="Times New Roman" w:eastAsiaTheme="minorEastAsia"/>
                <w:b/>
                <w:bCs/>
                <w:color w:val="auto"/>
                <w:sz w:val="21"/>
                <w:szCs w:val="21"/>
                <w:highlight w:val="none"/>
                <w:lang w:eastAsia="zh-CN"/>
              </w:rPr>
              <w:t>、项目竣工环境保护验收</w:t>
            </w:r>
          </w:p>
          <w:p>
            <w:pPr>
              <w:pStyle w:val="18"/>
              <w:spacing w:line="360" w:lineRule="auto"/>
              <w:ind w:firstLine="420" w:firstLineChars="200"/>
              <w:jc w:val="both"/>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根据《建设项目环境保护管理条例》（国务院令682号），建设单位应自主进行环境保护设施竣工验收，委托有资质的检测单位对该项目的环境保护设施进行现场调查及监测，并编制《建设项目竣工环境保护验收报告》。在项目建设过程中，环境污染防治设施应与主体工程同时设计、同时施工、同时投入使用。本项目污染工序主要集中在施工期，本项目竣工环境保护验收“三同时”验收内容见表</w:t>
            </w:r>
            <w:r>
              <w:rPr>
                <w:rFonts w:hint="eastAsia" w:ascii="Times New Roman" w:hAnsi="Times New Roman" w:cs="Times New Roman"/>
                <w:color w:val="auto"/>
                <w:sz w:val="21"/>
                <w:szCs w:val="21"/>
                <w:highlight w:val="none"/>
                <w:lang w:val="en-US" w:eastAsia="zh-CN"/>
              </w:rPr>
              <w:t>5-2</w:t>
            </w:r>
            <w:r>
              <w:rPr>
                <w:rFonts w:ascii="Times New Roman" w:hAnsi="Times New Roman" w:cs="Times New Roman"/>
                <w:color w:val="auto"/>
                <w:sz w:val="21"/>
                <w:szCs w:val="21"/>
                <w:highlight w:val="none"/>
                <w:lang w:eastAsia="zh-CN"/>
              </w:rPr>
              <w:t>。</w:t>
            </w:r>
          </w:p>
          <w:p>
            <w:pPr>
              <w:pStyle w:val="18"/>
              <w:jc w:val="center"/>
              <w:rPr>
                <w:rFonts w:ascii="Times New Roman" w:hAnsi="Times New Roman" w:eastAsia="MS Mincho" w:cs="Times New Roman"/>
                <w:color w:val="auto"/>
                <w:sz w:val="21"/>
                <w:szCs w:val="21"/>
                <w:highlight w:val="none"/>
                <w:lang w:eastAsia="ja-JP"/>
              </w:rPr>
            </w:pPr>
            <w:r>
              <w:rPr>
                <w:rFonts w:ascii="Times New Roman" w:hAnsi="Times New Roman" w:cs="Times New Roman"/>
                <w:b/>
                <w:color w:val="auto"/>
                <w:sz w:val="21"/>
                <w:szCs w:val="21"/>
                <w:highlight w:val="none"/>
                <w:lang w:eastAsia="zh-CN"/>
              </w:rPr>
              <w:t>表</w:t>
            </w:r>
            <w:r>
              <w:rPr>
                <w:rFonts w:hint="eastAsia" w:ascii="Times New Roman" w:hAnsi="Times New Roman" w:cs="Times New Roman"/>
                <w:b/>
                <w:color w:val="auto"/>
                <w:sz w:val="21"/>
                <w:szCs w:val="21"/>
                <w:highlight w:val="none"/>
                <w:lang w:val="en-US" w:eastAsia="zh-CN"/>
              </w:rPr>
              <w:t>5-2</w:t>
            </w:r>
            <w:r>
              <w:rPr>
                <w:rFonts w:ascii="Times New Roman" w:hAnsi="Times New Roman" w:cs="Times New Roman"/>
                <w:b/>
                <w:color w:val="auto"/>
                <w:sz w:val="21"/>
                <w:szCs w:val="21"/>
                <w:highlight w:val="none"/>
                <w:lang w:eastAsia="zh-CN"/>
              </w:rPr>
              <w:t xml:space="preserve">    项目竣工环境保护验收“三同时”验收内容一览表</w:t>
            </w:r>
          </w:p>
          <w:tbl>
            <w:tblPr>
              <w:tblStyle w:val="15"/>
              <w:tblW w:w="8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12"/>
              <w:gridCol w:w="3731"/>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widowControl/>
                    <w:jc w:val="center"/>
                    <w:rPr>
                      <w:rFonts w:ascii="Times New Roman" w:hAnsi="Times New Roman" w:cs="Times New Roman"/>
                      <w:b/>
                      <w:color w:val="auto"/>
                      <w:sz w:val="21"/>
                      <w:szCs w:val="21"/>
                      <w:highlight w:val="none"/>
                      <w:lang w:val="zh-CN"/>
                    </w:rPr>
                  </w:pPr>
                  <w:r>
                    <w:rPr>
                      <w:rFonts w:ascii="Times New Roman" w:hAnsi="Times New Roman" w:cs="Times New Roman"/>
                      <w:b/>
                      <w:color w:val="auto"/>
                      <w:sz w:val="21"/>
                      <w:szCs w:val="21"/>
                      <w:highlight w:val="none"/>
                      <w:lang w:val="zh-CN"/>
                    </w:rPr>
                    <w:t>类别</w:t>
                  </w:r>
                </w:p>
              </w:tc>
              <w:tc>
                <w:tcPr>
                  <w:tcW w:w="1312" w:type="dxa"/>
                  <w:vAlign w:val="center"/>
                </w:tcPr>
                <w:p>
                  <w:pPr>
                    <w:widowControl/>
                    <w:jc w:val="center"/>
                    <w:rPr>
                      <w:rFonts w:ascii="Times New Roman" w:hAnsi="Times New Roman" w:cs="Times New Roman"/>
                      <w:b/>
                      <w:color w:val="auto"/>
                      <w:sz w:val="21"/>
                      <w:szCs w:val="21"/>
                      <w:highlight w:val="none"/>
                      <w:lang w:val="zh-CN" w:eastAsia="zh-CN"/>
                    </w:rPr>
                  </w:pPr>
                  <w:r>
                    <w:rPr>
                      <w:rFonts w:ascii="Times New Roman" w:hAnsi="Times New Roman" w:cs="Times New Roman"/>
                      <w:b/>
                      <w:color w:val="auto"/>
                      <w:sz w:val="21"/>
                      <w:szCs w:val="21"/>
                      <w:highlight w:val="none"/>
                      <w:lang w:val="zh-CN" w:eastAsia="zh-CN"/>
                    </w:rPr>
                    <w:t>污染物</w:t>
                  </w:r>
                </w:p>
              </w:tc>
              <w:tc>
                <w:tcPr>
                  <w:tcW w:w="3731" w:type="dxa"/>
                  <w:vAlign w:val="center"/>
                </w:tcPr>
                <w:p>
                  <w:pPr>
                    <w:widowControl/>
                    <w:jc w:val="center"/>
                    <w:rPr>
                      <w:rFonts w:ascii="Times New Roman" w:hAnsi="Times New Roman" w:cs="Times New Roman"/>
                      <w:b/>
                      <w:color w:val="auto"/>
                      <w:sz w:val="21"/>
                      <w:szCs w:val="21"/>
                      <w:highlight w:val="none"/>
                      <w:lang w:val="zh-CN"/>
                    </w:rPr>
                  </w:pPr>
                  <w:r>
                    <w:rPr>
                      <w:rFonts w:ascii="Times New Roman" w:hAnsi="Times New Roman" w:cs="Times New Roman"/>
                      <w:b/>
                      <w:color w:val="auto"/>
                      <w:sz w:val="21"/>
                      <w:szCs w:val="21"/>
                      <w:highlight w:val="none"/>
                      <w:lang w:val="zh-CN"/>
                    </w:rPr>
                    <w:t>环保措施</w:t>
                  </w:r>
                </w:p>
              </w:tc>
              <w:tc>
                <w:tcPr>
                  <w:tcW w:w="2911" w:type="dxa"/>
                  <w:vAlign w:val="center"/>
                </w:tcPr>
                <w:p>
                  <w:pPr>
                    <w:widowControl/>
                    <w:jc w:val="center"/>
                    <w:rPr>
                      <w:rFonts w:ascii="Times New Roman" w:hAnsi="Times New Roman" w:cs="Times New Roman"/>
                      <w:b/>
                      <w:color w:val="auto"/>
                      <w:sz w:val="21"/>
                      <w:szCs w:val="21"/>
                      <w:highlight w:val="none"/>
                      <w:lang w:val="zh-CN"/>
                    </w:rPr>
                  </w:pPr>
                  <w:r>
                    <w:rPr>
                      <w:rFonts w:ascii="Times New Roman" w:hAnsi="Times New Roman" w:cs="Times New Roman"/>
                      <w:b/>
                      <w:color w:val="auto"/>
                      <w:sz w:val="21"/>
                      <w:szCs w:val="21"/>
                      <w:highlight w:val="none"/>
                      <w:lang w:val="zh-CN"/>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restart"/>
                  <w:vAlign w:val="center"/>
                </w:tcPr>
                <w:p>
                  <w:pPr>
                    <w:widowControl/>
                    <w:jc w:val="center"/>
                    <w:rPr>
                      <w:rFonts w:ascii="Times New Roman" w:hAnsi="Times New Roman" w:cs="Times New Roman"/>
                      <w:bCs/>
                      <w:color w:val="auto"/>
                      <w:sz w:val="21"/>
                      <w:szCs w:val="21"/>
                      <w:highlight w:val="none"/>
                      <w:lang w:val="zh-CN"/>
                    </w:rPr>
                  </w:pPr>
                  <w:r>
                    <w:rPr>
                      <w:rFonts w:ascii="Times New Roman" w:hAnsi="Times New Roman" w:cs="Times New Roman"/>
                      <w:bCs/>
                      <w:color w:val="auto"/>
                      <w:sz w:val="21"/>
                      <w:szCs w:val="21"/>
                      <w:highlight w:val="none"/>
                      <w:lang w:val="zh-CN"/>
                    </w:rPr>
                    <w:t>废气</w:t>
                  </w:r>
                </w:p>
              </w:tc>
              <w:tc>
                <w:tcPr>
                  <w:tcW w:w="1312" w:type="dxa"/>
                  <w:vAlign w:val="center"/>
                </w:tcPr>
                <w:p>
                  <w:pPr>
                    <w:widowControl/>
                    <w:jc w:val="center"/>
                    <w:rPr>
                      <w:rFonts w:ascii="Times New Roman" w:hAnsi="Times New Roman" w:cs="Times New Roman"/>
                      <w:bCs/>
                      <w:color w:val="auto"/>
                      <w:sz w:val="21"/>
                      <w:szCs w:val="21"/>
                      <w:highlight w:val="none"/>
                      <w:lang w:val="zh-CN"/>
                    </w:rPr>
                  </w:pPr>
                  <w:r>
                    <w:rPr>
                      <w:rFonts w:hint="eastAsia" w:ascii="Times New Roman" w:hAnsi="Times New Roman" w:cs="Times New Roman"/>
                      <w:bCs/>
                      <w:color w:val="auto"/>
                      <w:sz w:val="21"/>
                      <w:szCs w:val="21"/>
                      <w:highlight w:val="none"/>
                      <w:lang w:val="zh-CN" w:eastAsia="zh-CN"/>
                    </w:rPr>
                    <w:t>工艺</w:t>
                  </w:r>
                  <w:r>
                    <w:rPr>
                      <w:rFonts w:ascii="Times New Roman" w:hAnsi="Times New Roman" w:cs="Times New Roman"/>
                      <w:bCs/>
                      <w:color w:val="auto"/>
                      <w:sz w:val="21"/>
                      <w:szCs w:val="21"/>
                      <w:highlight w:val="none"/>
                      <w:lang w:val="zh-CN"/>
                    </w:rPr>
                    <w:t>扬尘</w:t>
                  </w:r>
                </w:p>
              </w:tc>
              <w:tc>
                <w:tcPr>
                  <w:tcW w:w="3731" w:type="dxa"/>
                  <w:vAlign w:val="center"/>
                </w:tcPr>
                <w:p>
                  <w:pPr>
                    <w:widowControl/>
                    <w:jc w:val="both"/>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采挖扬尘通过洒水车洒水抑尘，装载扬尘通过降低装载高度差，雾炮机洒水抑尘。</w:t>
                  </w:r>
                </w:p>
              </w:tc>
              <w:tc>
                <w:tcPr>
                  <w:tcW w:w="2911" w:type="dxa"/>
                  <w:vAlign w:val="center"/>
                </w:tcPr>
                <w:p>
                  <w:pPr>
                    <w:widowControl/>
                    <w:jc w:val="center"/>
                    <w:rPr>
                      <w:rFonts w:ascii="Times New Roman" w:hAnsi="Times New Roman" w:cs="Times New Roman"/>
                      <w:bCs/>
                      <w:color w:val="auto"/>
                      <w:sz w:val="21"/>
                      <w:szCs w:val="21"/>
                      <w:highlight w:val="none"/>
                      <w:lang w:val="zh-CN" w:eastAsia="zh-CN"/>
                    </w:rPr>
                  </w:pPr>
                  <w:r>
                    <w:rPr>
                      <w:rFonts w:ascii="Times New Roman" w:hAnsi="Times New Roman" w:cs="Times New Roman"/>
                      <w:color w:val="auto"/>
                      <w:sz w:val="21"/>
                      <w:szCs w:val="21"/>
                      <w:highlight w:val="none"/>
                      <w:lang w:eastAsia="zh-CN"/>
                    </w:rPr>
                    <w:t>《大气污染物综合排放标准》（GB 16297-1996）中无组织排放标准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continue"/>
                  <w:vAlign w:val="center"/>
                </w:tcPr>
                <w:p>
                  <w:pPr>
                    <w:widowControl/>
                    <w:jc w:val="center"/>
                    <w:rPr>
                      <w:rFonts w:ascii="Times New Roman" w:hAnsi="Times New Roman" w:cs="Times New Roman"/>
                      <w:bCs/>
                      <w:color w:val="auto"/>
                      <w:sz w:val="21"/>
                      <w:szCs w:val="21"/>
                      <w:highlight w:val="none"/>
                      <w:lang w:val="zh-CN" w:eastAsia="zh-CN"/>
                    </w:rPr>
                  </w:pPr>
                </w:p>
              </w:tc>
              <w:tc>
                <w:tcPr>
                  <w:tcW w:w="1312"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交通扬尘</w:t>
                  </w:r>
                </w:p>
              </w:tc>
              <w:tc>
                <w:tcPr>
                  <w:tcW w:w="3731" w:type="dxa"/>
                  <w:vAlign w:val="center"/>
                </w:tcPr>
                <w:p>
                  <w:pPr>
                    <w:widowControl/>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低速行驶，道路洒水抑尘，车斗苫布遮蔽。</w:t>
                  </w:r>
                </w:p>
              </w:tc>
              <w:tc>
                <w:tcPr>
                  <w:tcW w:w="2911" w:type="dxa"/>
                  <w:vMerge w:val="restart"/>
                  <w:vAlign w:val="center"/>
                </w:tcPr>
                <w:p>
                  <w:pPr>
                    <w:widowControl/>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废气稀释后无组织逸散，对区域大气环境无明显影响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continue"/>
                  <w:vAlign w:val="center"/>
                </w:tcPr>
                <w:p>
                  <w:pPr>
                    <w:widowControl/>
                    <w:jc w:val="center"/>
                    <w:rPr>
                      <w:rFonts w:ascii="Times New Roman" w:hAnsi="Times New Roman" w:cs="Times New Roman"/>
                      <w:bCs/>
                      <w:color w:val="auto"/>
                      <w:sz w:val="21"/>
                      <w:szCs w:val="21"/>
                      <w:highlight w:val="none"/>
                      <w:lang w:val="zh-CN" w:eastAsia="zh-CN"/>
                    </w:rPr>
                  </w:pPr>
                </w:p>
              </w:tc>
              <w:tc>
                <w:tcPr>
                  <w:tcW w:w="1312"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尾气</w:t>
                  </w:r>
                </w:p>
              </w:tc>
              <w:tc>
                <w:tcPr>
                  <w:tcW w:w="3731" w:type="dxa"/>
                  <w:vAlign w:val="center"/>
                </w:tcPr>
                <w:p>
                  <w:pPr>
                    <w:widowControl/>
                    <w:jc w:val="center"/>
                    <w:rPr>
                      <w:rFonts w:ascii="Times New Roman" w:hAnsi="Times New Roman" w:cs="Times New Roman"/>
                      <w:color w:val="auto"/>
                      <w:sz w:val="21"/>
                      <w:szCs w:val="21"/>
                      <w:highlight w:val="none"/>
                      <w:lang w:eastAsia="zh-CN"/>
                    </w:rPr>
                  </w:pPr>
                  <w:r>
                    <w:rPr>
                      <w:rFonts w:hint="eastAsia" w:ascii="Times New Roman" w:hAnsi="Times New Roman" w:cs="Times New Roman"/>
                      <w:bCs/>
                      <w:color w:val="auto"/>
                      <w:sz w:val="21"/>
                      <w:szCs w:val="21"/>
                      <w:highlight w:val="none"/>
                      <w:lang w:val="zh-CN" w:eastAsia="zh-CN"/>
                    </w:rPr>
                    <w:t>加强机械设备、车辆的日常检修维护保养。</w:t>
                  </w:r>
                </w:p>
              </w:tc>
              <w:tc>
                <w:tcPr>
                  <w:tcW w:w="2911" w:type="dxa"/>
                  <w:vMerge w:val="continue"/>
                  <w:vAlign w:val="center"/>
                </w:tcPr>
                <w:p>
                  <w:pPr>
                    <w:widowControl/>
                    <w:jc w:val="both"/>
                    <w:rPr>
                      <w:rFonts w:ascii="Times New Roman" w:hAnsi="Times New Roman" w:cs="Times New Roman"/>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widowControl/>
                    <w:jc w:val="center"/>
                    <w:rPr>
                      <w:rFonts w:ascii="Times New Roman" w:hAnsi="Times New Roman" w:cs="Times New Roman"/>
                      <w:bCs/>
                      <w:color w:val="auto"/>
                      <w:sz w:val="21"/>
                      <w:szCs w:val="21"/>
                      <w:highlight w:val="none"/>
                      <w:lang w:val="zh-CN"/>
                    </w:rPr>
                  </w:pPr>
                  <w:r>
                    <w:rPr>
                      <w:rFonts w:ascii="Times New Roman" w:hAnsi="Times New Roman" w:cs="Times New Roman"/>
                      <w:bCs/>
                      <w:color w:val="auto"/>
                      <w:sz w:val="21"/>
                      <w:szCs w:val="21"/>
                      <w:highlight w:val="none"/>
                      <w:lang w:val="zh-CN"/>
                    </w:rPr>
                    <w:t>废水</w:t>
                  </w:r>
                </w:p>
              </w:tc>
              <w:tc>
                <w:tcPr>
                  <w:tcW w:w="1312"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生活污水</w:t>
                  </w:r>
                </w:p>
              </w:tc>
              <w:tc>
                <w:tcPr>
                  <w:tcW w:w="3731" w:type="dxa"/>
                  <w:vAlign w:val="center"/>
                </w:tcPr>
                <w:p>
                  <w:pPr>
                    <w:widowControl/>
                    <w:jc w:val="both"/>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生活污水与阿克托别粘土矿共同依托砖厂已建防渗化粪池收集。</w:t>
                  </w:r>
                </w:p>
              </w:tc>
              <w:tc>
                <w:tcPr>
                  <w:tcW w:w="2911"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《污水综合排放标准》（</w:t>
                  </w:r>
                  <w:r>
                    <w:rPr>
                      <w:rFonts w:ascii="Times New Roman" w:hAnsi="Times New Roman" w:cs="Times New Roman"/>
                      <w:bCs/>
                      <w:color w:val="auto"/>
                      <w:sz w:val="21"/>
                      <w:szCs w:val="21"/>
                      <w:highlight w:val="none"/>
                      <w:lang w:val="zh-CN" w:eastAsia="zh-CN"/>
                    </w:rPr>
                    <w:t>GB 8978-1996）的三级标准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噪声</w:t>
                  </w:r>
                </w:p>
              </w:tc>
              <w:tc>
                <w:tcPr>
                  <w:tcW w:w="1312"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噪声</w:t>
                  </w:r>
                </w:p>
              </w:tc>
              <w:tc>
                <w:tcPr>
                  <w:tcW w:w="3731" w:type="dxa"/>
                  <w:vAlign w:val="center"/>
                </w:tcPr>
                <w:p>
                  <w:pPr>
                    <w:widowControl/>
                    <w:jc w:val="both"/>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采用低噪声机械设备，距离衰减降噪，车辆行驶严格控制车速，严禁鸣笛，定期对机械设备进行检修维护保养。</w:t>
                  </w:r>
                </w:p>
              </w:tc>
              <w:tc>
                <w:tcPr>
                  <w:tcW w:w="2911" w:type="dxa"/>
                  <w:vAlign w:val="center"/>
                </w:tcPr>
                <w:p>
                  <w:pPr>
                    <w:widowControl/>
                    <w:jc w:val="both"/>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《工业企业厂界环境噪声排放标准》（</w:t>
                  </w:r>
                  <w:r>
                    <w:rPr>
                      <w:rFonts w:ascii="Times New Roman" w:hAnsi="Times New Roman" w:cs="Times New Roman"/>
                      <w:bCs/>
                      <w:color w:val="auto"/>
                      <w:sz w:val="21"/>
                      <w:szCs w:val="21"/>
                      <w:highlight w:val="none"/>
                      <w:lang w:val="zh-CN" w:eastAsia="zh-CN"/>
                    </w:rPr>
                    <w:t>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固体废物</w:t>
                  </w:r>
                </w:p>
              </w:tc>
              <w:tc>
                <w:tcPr>
                  <w:tcW w:w="1312"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生活垃圾</w:t>
                  </w:r>
                </w:p>
              </w:tc>
              <w:tc>
                <w:tcPr>
                  <w:tcW w:w="3731"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统一收集后交由环卫部门处置</w:t>
                  </w:r>
                </w:p>
              </w:tc>
              <w:tc>
                <w:tcPr>
                  <w:tcW w:w="2911"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《一般工业固体废物贮存和填埋污染物控制标准》（</w:t>
                  </w:r>
                  <w:r>
                    <w:rPr>
                      <w:rFonts w:ascii="Times New Roman" w:hAnsi="Times New Roman" w:cs="Times New Roman"/>
                      <w:bCs/>
                      <w:color w:val="auto"/>
                      <w:sz w:val="21"/>
                      <w:szCs w:val="21"/>
                      <w:highlight w:val="none"/>
                      <w:lang w:val="zh-CN" w:eastAsia="zh-CN"/>
                    </w:rPr>
                    <w:t>GB 18599-2020）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6" w:type="dxa"/>
                  <w:gridSpan w:val="2"/>
                  <w:vMerge w:val="restart"/>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生态保护</w:t>
                  </w:r>
                </w:p>
              </w:tc>
              <w:tc>
                <w:tcPr>
                  <w:tcW w:w="3731"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水土保持</w:t>
                  </w:r>
                </w:p>
              </w:tc>
              <w:tc>
                <w:tcPr>
                  <w:tcW w:w="2911" w:type="dxa"/>
                  <w:vAlign w:val="center"/>
                </w:tcPr>
                <w:p>
                  <w:pPr>
                    <w:widowControl/>
                    <w:jc w:val="both"/>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采矿作业尽量避开</w:t>
                  </w:r>
                  <w:r>
                    <w:rPr>
                      <w:rFonts w:ascii="Times New Roman" w:hAnsi="Times New Roman" w:cs="Times New Roman"/>
                      <w:bCs/>
                      <w:color w:val="auto"/>
                      <w:sz w:val="21"/>
                      <w:szCs w:val="21"/>
                      <w:highlight w:val="none"/>
                      <w:lang w:val="zh-CN" w:eastAsia="zh-CN"/>
                    </w:rPr>
                    <w:t>4级大风和雨水天气，大风天气作业面覆盖防尘布、遮网；采挖的粘土矿应及时转运，尽可能减少疏松土壤的暴露时间；采矿、运输等环节配合洒水抑尘措施；开采区周边和开采区内边坡修整，设置截排水沟，防治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6" w:type="dxa"/>
                  <w:gridSpan w:val="2"/>
                  <w:vMerge w:val="continue"/>
                  <w:vAlign w:val="center"/>
                </w:tcPr>
                <w:p>
                  <w:pPr>
                    <w:widowControl/>
                    <w:jc w:val="center"/>
                    <w:rPr>
                      <w:rFonts w:ascii="Times New Roman" w:hAnsi="Times New Roman" w:cs="Times New Roman"/>
                      <w:bCs/>
                      <w:color w:val="auto"/>
                      <w:sz w:val="21"/>
                      <w:szCs w:val="21"/>
                      <w:highlight w:val="none"/>
                      <w:lang w:val="zh-CN" w:eastAsia="zh-CN"/>
                    </w:rPr>
                  </w:pPr>
                </w:p>
              </w:tc>
              <w:tc>
                <w:tcPr>
                  <w:tcW w:w="3731" w:type="dxa"/>
                  <w:vAlign w:val="center"/>
                </w:tcPr>
                <w:p>
                  <w:pPr>
                    <w:widowControl/>
                    <w:jc w:val="center"/>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生态恢复（闭矿期）</w:t>
                  </w:r>
                </w:p>
              </w:tc>
              <w:tc>
                <w:tcPr>
                  <w:tcW w:w="2911" w:type="dxa"/>
                  <w:vAlign w:val="center"/>
                </w:tcPr>
                <w:p>
                  <w:pPr>
                    <w:widowControl/>
                    <w:jc w:val="both"/>
                    <w:rPr>
                      <w:rFonts w:ascii="Times New Roman" w:hAnsi="Times New Roman" w:cs="Times New Roman"/>
                      <w:bCs/>
                      <w:color w:val="auto"/>
                      <w:sz w:val="21"/>
                      <w:szCs w:val="21"/>
                      <w:highlight w:val="none"/>
                      <w:lang w:val="zh-CN" w:eastAsia="zh-CN"/>
                    </w:rPr>
                  </w:pPr>
                  <w:r>
                    <w:rPr>
                      <w:rFonts w:hint="eastAsia" w:ascii="Times New Roman" w:hAnsi="Times New Roman" w:cs="Times New Roman"/>
                      <w:bCs/>
                      <w:color w:val="auto"/>
                      <w:sz w:val="21"/>
                      <w:szCs w:val="21"/>
                      <w:highlight w:val="none"/>
                      <w:lang w:val="zh-CN" w:eastAsia="zh-CN"/>
                    </w:rPr>
                    <w:t>闭矿期无新增扰动引起的水土流失，播撒适应当地气候、易存活、防风固沙效果好的草籽，定期浇水养护。保证远期地表景观与周边环境相协调，生态环境无重大变化。</w:t>
                  </w:r>
                </w:p>
              </w:tc>
            </w:tr>
          </w:tbl>
          <w:p>
            <w:pPr>
              <w:pStyle w:val="18"/>
              <w:rPr>
                <w:rFonts w:ascii="Times New Roman" w:hAnsi="Times New Roman" w:eastAsia="MS Mincho" w:cs="Times New Roman"/>
                <w:color w:val="auto"/>
                <w:sz w:val="21"/>
                <w:szCs w:val="21"/>
                <w:highlight w:val="none"/>
                <w:lang w:eastAsia="ja-JP"/>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590" w:hRule="atLeast"/>
        </w:trPr>
        <w:tc>
          <w:tcPr>
            <w:tcW w:w="1003" w:type="dxa"/>
            <w:tcBorders>
              <w:top w:val="single" w:color="000000" w:sz="4" w:space="0"/>
              <w:right w:val="single" w:color="000000" w:sz="4" w:space="0"/>
            </w:tcBorders>
            <w:vAlign w:val="center"/>
          </w:tcPr>
          <w:p>
            <w:pPr>
              <w:pStyle w:val="18"/>
              <w:jc w:val="center"/>
              <w:rPr>
                <w:rFonts w:ascii="Times New Roman" w:hAnsi="Times New Roman" w:cs="Times New Roman"/>
                <w:b/>
                <w:color w:val="auto"/>
                <w:sz w:val="21"/>
                <w:szCs w:val="21"/>
                <w:highlight w:val="none"/>
              </w:rPr>
            </w:pPr>
            <w:r>
              <w:rPr>
                <w:rFonts w:ascii="Times New Roman" w:hAnsi="Times New Roman" w:cs="Times New Roman"/>
                <w:b/>
                <w:color w:val="auto"/>
                <w:sz w:val="21"/>
                <w:szCs w:val="21"/>
                <w:highlight w:val="none"/>
              </w:rPr>
              <w:t>环保</w:t>
            </w:r>
          </w:p>
          <w:p>
            <w:pPr>
              <w:pStyle w:val="18"/>
              <w:jc w:val="center"/>
              <w:rPr>
                <w:rFonts w:ascii="Times New Roman" w:hAnsi="Times New Roman" w:cs="Times New Roman"/>
                <w:color w:val="auto"/>
                <w:sz w:val="21"/>
                <w:szCs w:val="21"/>
                <w:highlight w:val="none"/>
              </w:rPr>
            </w:pPr>
            <w:r>
              <w:rPr>
                <w:rFonts w:ascii="Times New Roman" w:hAnsi="Times New Roman" w:cs="Times New Roman"/>
                <w:b/>
                <w:color w:val="auto"/>
                <w:sz w:val="21"/>
                <w:szCs w:val="21"/>
                <w:highlight w:val="none"/>
              </w:rPr>
              <w:t>投资</w:t>
            </w:r>
          </w:p>
        </w:tc>
        <w:tc>
          <w:tcPr>
            <w:tcW w:w="8662" w:type="dxa"/>
            <w:tcBorders>
              <w:top w:val="single" w:color="000000" w:sz="4" w:space="0"/>
              <w:left w:val="single" w:color="000000" w:sz="4" w:space="0"/>
            </w:tcBorders>
          </w:tcPr>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ascii="Times New Roman" w:hAnsi="Times New Roman" w:cs="Times New Roman"/>
                <w:color w:val="auto"/>
                <w:sz w:val="21"/>
                <w:szCs w:val="21"/>
                <w:highlight w:val="none"/>
                <w:lang w:eastAsia="ja-JP"/>
              </w:rPr>
            </w:pPr>
            <w:r>
              <w:rPr>
                <w:rFonts w:ascii="Times New Roman" w:hAnsi="Times New Roman" w:cs="Times New Roman"/>
                <w:color w:val="auto"/>
                <w:sz w:val="21"/>
                <w:szCs w:val="21"/>
                <w:highlight w:val="none"/>
                <w:lang w:eastAsia="ja-JP"/>
              </w:rPr>
              <w:t>本项目总投资</w:t>
            </w:r>
            <w:r>
              <w:rPr>
                <w:rFonts w:hint="eastAsia" w:ascii="Times New Roman" w:hAnsi="Times New Roman" w:cs="Times New Roman"/>
                <w:color w:val="auto"/>
                <w:sz w:val="21"/>
                <w:szCs w:val="21"/>
                <w:highlight w:val="none"/>
                <w:lang w:val="en-US" w:eastAsia="zh-CN"/>
              </w:rPr>
              <w:t>947.96</w:t>
            </w:r>
            <w:r>
              <w:rPr>
                <w:rFonts w:ascii="Times New Roman" w:hAnsi="Times New Roman" w:cs="Times New Roman"/>
                <w:color w:val="auto"/>
                <w:sz w:val="21"/>
                <w:szCs w:val="21"/>
                <w:highlight w:val="none"/>
                <w:lang w:eastAsia="zh-CN"/>
              </w:rPr>
              <w:t>万元</w:t>
            </w:r>
            <w:r>
              <w:rPr>
                <w:rFonts w:ascii="Times New Roman" w:hAnsi="Times New Roman" w:cs="Times New Roman"/>
                <w:color w:val="auto"/>
                <w:sz w:val="21"/>
                <w:szCs w:val="21"/>
                <w:highlight w:val="none"/>
                <w:lang w:eastAsia="ja-JP"/>
              </w:rPr>
              <w:t>，其中环保投资为</w:t>
            </w:r>
            <w:r>
              <w:rPr>
                <w:rFonts w:hint="eastAsia" w:ascii="Times New Roman" w:hAnsi="Times New Roman" w:cs="Times New Roman"/>
                <w:color w:val="auto"/>
                <w:sz w:val="21"/>
                <w:szCs w:val="21"/>
                <w:highlight w:val="none"/>
                <w:lang w:val="en-US" w:eastAsia="zh-CN"/>
              </w:rPr>
              <w:t>25.1</w:t>
            </w:r>
            <w:r>
              <w:rPr>
                <w:rFonts w:ascii="Times New Roman" w:hAnsi="Times New Roman" w:cs="Times New Roman"/>
                <w:color w:val="auto"/>
                <w:sz w:val="21"/>
                <w:szCs w:val="21"/>
                <w:highlight w:val="none"/>
                <w:lang w:eastAsia="ja-JP"/>
              </w:rPr>
              <w:t>万元，占投资总额的</w:t>
            </w:r>
            <w:r>
              <w:rPr>
                <w:rFonts w:hint="eastAsia" w:ascii="Times New Roman" w:hAnsi="Times New Roman" w:cs="Times New Roman"/>
                <w:color w:val="auto"/>
                <w:sz w:val="21"/>
                <w:szCs w:val="21"/>
                <w:highlight w:val="none"/>
                <w:lang w:val="en-US" w:eastAsia="zh-CN"/>
              </w:rPr>
              <w:t>2.65</w:t>
            </w:r>
            <w:r>
              <w:rPr>
                <w:rFonts w:ascii="Times New Roman" w:hAnsi="Times New Roman" w:cs="Times New Roman"/>
                <w:color w:val="auto"/>
                <w:sz w:val="21"/>
                <w:szCs w:val="21"/>
                <w:highlight w:val="none"/>
                <w:lang w:eastAsia="ja-JP"/>
              </w:rPr>
              <w:t>%。环保投资估算详见表</w:t>
            </w:r>
            <w:r>
              <w:rPr>
                <w:rFonts w:hint="eastAsia" w:ascii="Times New Roman" w:hAnsi="Times New Roman" w:cs="Times New Roman"/>
                <w:color w:val="auto"/>
                <w:sz w:val="21"/>
                <w:szCs w:val="21"/>
                <w:highlight w:val="none"/>
                <w:lang w:val="en-US" w:eastAsia="zh-CN"/>
              </w:rPr>
              <w:t>5-3</w:t>
            </w:r>
            <w:r>
              <w:rPr>
                <w:rFonts w:ascii="Times New Roman" w:hAnsi="Times New Roman" w:cs="Times New Roman"/>
                <w:color w:val="auto"/>
                <w:sz w:val="21"/>
                <w:szCs w:val="21"/>
                <w:highlight w:val="none"/>
                <w:lang w:eastAsia="ja-JP"/>
              </w:rPr>
              <w:t>。</w:t>
            </w:r>
          </w:p>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color w:val="auto"/>
                <w:sz w:val="21"/>
                <w:szCs w:val="21"/>
                <w:highlight w:val="none"/>
                <w:lang w:eastAsia="zh-CN"/>
              </w:rPr>
            </w:pPr>
            <w:r>
              <w:rPr>
                <w:rFonts w:ascii="Times New Roman" w:hAnsi="Times New Roman" w:cs="Times New Roman"/>
                <w:b/>
                <w:color w:val="auto"/>
                <w:sz w:val="21"/>
                <w:szCs w:val="21"/>
                <w:highlight w:val="none"/>
                <w:lang w:eastAsia="zh-CN"/>
              </w:rPr>
              <w:t>表</w:t>
            </w:r>
            <w:r>
              <w:rPr>
                <w:rFonts w:hint="eastAsia" w:ascii="Times New Roman" w:hAnsi="Times New Roman" w:cs="Times New Roman"/>
                <w:b/>
                <w:color w:val="auto"/>
                <w:sz w:val="21"/>
                <w:szCs w:val="21"/>
                <w:highlight w:val="none"/>
                <w:lang w:val="en-US" w:eastAsia="zh-CN"/>
              </w:rPr>
              <w:t>5-3</w:t>
            </w:r>
            <w:r>
              <w:rPr>
                <w:rFonts w:ascii="Times New Roman" w:hAnsi="Times New Roman" w:cs="Times New Roman"/>
                <w:b/>
                <w:color w:val="auto"/>
                <w:sz w:val="21"/>
                <w:szCs w:val="21"/>
                <w:highlight w:val="none"/>
                <w:lang w:eastAsia="zh-CN"/>
              </w:rPr>
              <w:t xml:space="preserve">    主要环保措施及投资估算一览表        单位：万元</w:t>
            </w:r>
          </w:p>
          <w:tbl>
            <w:tblPr>
              <w:tblStyle w:val="15"/>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35"/>
              <w:gridCol w:w="538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2" w:type="dxa"/>
                  <w:gridSpan w:val="2"/>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治理项目</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color w:val="auto"/>
                      <w:sz w:val="21"/>
                      <w:szCs w:val="21"/>
                      <w:highlight w:val="none"/>
                      <w:lang w:eastAsia="zh-CN"/>
                    </w:rPr>
                  </w:pPr>
                  <w:r>
                    <w:rPr>
                      <w:rFonts w:ascii="Times New Roman" w:hAnsi="Times New Roman" w:cs="Times New Roman"/>
                      <w:b/>
                      <w:color w:val="auto"/>
                      <w:sz w:val="21"/>
                      <w:szCs w:val="21"/>
                      <w:highlight w:val="none"/>
                      <w:lang w:eastAsia="zh-CN"/>
                    </w:rPr>
                    <w:t>主要环保措施</w:t>
                  </w:r>
                </w:p>
              </w:tc>
              <w:tc>
                <w:tcPr>
                  <w:tcW w:w="112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color w:val="auto"/>
                      <w:sz w:val="21"/>
                      <w:szCs w:val="21"/>
                      <w:highlight w:val="none"/>
                      <w:lang w:eastAsia="zh-CN"/>
                    </w:rPr>
                  </w:pPr>
                  <w:r>
                    <w:rPr>
                      <w:rFonts w:ascii="Times New Roman" w:hAnsi="Times New Roman" w:cs="Times New Roman"/>
                      <w:b/>
                      <w:color w:val="auto"/>
                      <w:sz w:val="21"/>
                      <w:szCs w:val="21"/>
                      <w:highlight w:val="none"/>
                      <w:lang w:eastAsia="zh-CN"/>
                    </w:rPr>
                    <w:t>投资估算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Merge w:val="restart"/>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废气</w:t>
                  </w: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工艺扬尘</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洒水</w:t>
                  </w:r>
                  <w:r>
                    <w:rPr>
                      <w:rFonts w:hint="eastAsia" w:ascii="Times New Roman" w:hAnsi="Times New Roman" w:cs="Times New Roman"/>
                      <w:color w:val="auto"/>
                      <w:sz w:val="21"/>
                      <w:szCs w:val="21"/>
                      <w:highlight w:val="none"/>
                      <w:lang w:eastAsia="zh-CN"/>
                    </w:rPr>
                    <w:t>抑尘</w:t>
                  </w:r>
                  <w:r>
                    <w:rPr>
                      <w:rFonts w:ascii="Times New Roman" w:hAnsi="Times New Roman" w:cs="Times New Roman"/>
                      <w:color w:val="auto"/>
                      <w:sz w:val="21"/>
                      <w:szCs w:val="21"/>
                      <w:highlight w:val="none"/>
                      <w:lang w:eastAsia="zh-CN"/>
                    </w:rPr>
                    <w:t>、防尘布、遮网</w:t>
                  </w:r>
                </w:p>
              </w:tc>
              <w:tc>
                <w:tcPr>
                  <w:tcW w:w="112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交通扬尘</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洒水抑尘、苫布</w:t>
                  </w:r>
                </w:p>
              </w:tc>
              <w:tc>
                <w:tcPr>
                  <w:tcW w:w="112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尾气</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机械设备、车辆的检修维护保养</w:t>
                  </w:r>
                </w:p>
              </w:tc>
              <w:tc>
                <w:tcPr>
                  <w:tcW w:w="112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噪声</w:t>
                  </w: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噪声</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采用低噪声机械设备，距离衰减降噪，车辆行驶严格控制车速，严禁鸣笛，定期对机械设备进行检修维护保养。</w:t>
                  </w:r>
                </w:p>
              </w:tc>
              <w:tc>
                <w:tcPr>
                  <w:tcW w:w="112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固废</w:t>
                  </w: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生活垃圾</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垃圾桶</w:t>
                  </w:r>
                </w:p>
              </w:tc>
              <w:tc>
                <w:tcPr>
                  <w:tcW w:w="112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ascii="Times New Roman" w:hAnsi="Times New Roman" w:cs="Times New Roman"/>
                      <w:color w:val="auto"/>
                      <w:sz w:val="21"/>
                      <w:szCs w:val="21"/>
                      <w:highlight w:val="none"/>
                      <w:lang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生态</w:t>
                  </w: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复垦</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复垦监测、植被恢复、播撒草籽</w:t>
                  </w:r>
                </w:p>
              </w:tc>
              <w:tc>
                <w:tcPr>
                  <w:tcW w:w="112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2" w:type="dxa"/>
                  <w:gridSpan w:val="2"/>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合</w:t>
                  </w:r>
                  <w:r>
                    <w:rPr>
                      <w:rFonts w:ascii="Times New Roman" w:hAnsi="Times New Roman" w:cs="Times New Roman"/>
                      <w:b/>
                      <w:bCs/>
                      <w:color w:val="auto"/>
                      <w:sz w:val="21"/>
                      <w:szCs w:val="21"/>
                      <w:highlight w:val="none"/>
                      <w:lang w:eastAsia="zh-CN"/>
                    </w:rPr>
                    <w:t xml:space="preserve">    计</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bCs/>
                      <w:color w:val="auto"/>
                      <w:sz w:val="21"/>
                      <w:szCs w:val="21"/>
                      <w:highlight w:val="none"/>
                      <w:lang w:eastAsia="zh-CN"/>
                    </w:rPr>
                  </w:pPr>
                </w:p>
              </w:tc>
              <w:tc>
                <w:tcPr>
                  <w:tcW w:w="112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25.1</w:t>
                  </w:r>
                </w:p>
              </w:tc>
            </w:tr>
          </w:tbl>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p>
            <w:pPr>
              <w:pStyle w:val="18"/>
              <w:rPr>
                <w:rFonts w:ascii="Times New Roman" w:hAnsi="Times New Roman" w:cs="Times New Roman"/>
                <w:color w:val="auto"/>
                <w:sz w:val="21"/>
                <w:szCs w:val="21"/>
                <w:highlight w:val="none"/>
                <w:lang w:eastAsia="zh-CN"/>
              </w:rPr>
            </w:pPr>
          </w:p>
        </w:tc>
      </w:tr>
    </w:tbl>
    <w:p>
      <w:pPr>
        <w:rPr>
          <w:rFonts w:ascii="Times New Roman" w:hAnsi="Times New Roman" w:cs="Times New Roman"/>
          <w:sz w:val="21"/>
          <w:lang w:eastAsia="zh-CN"/>
        </w:rPr>
        <w:sectPr>
          <w:type w:val="nextColumn"/>
          <w:pgSz w:w="11913" w:h="1684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75"/>
        <w:jc w:val="center"/>
        <w:rPr>
          <w:rFonts w:ascii="Times New Roman" w:hAnsi="Times New Roman" w:cs="Times New Roman"/>
          <w:b/>
          <w:bCs/>
          <w:lang w:eastAsia="zh-CN"/>
        </w:rPr>
      </w:pPr>
      <w:r>
        <w:rPr>
          <w:rFonts w:ascii="Times New Roman" w:hAnsi="Times New Roman" w:cs="Times New Roman"/>
          <w:b/>
          <w:bCs/>
          <w:lang w:eastAsia="zh-CN"/>
        </w:rPr>
        <w:t>六、生态环境保护措施监督检查清单</w:t>
      </w:r>
    </w:p>
    <w:tbl>
      <w:tblPr>
        <w:tblStyle w:val="16"/>
        <w:tblW w:w="972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601"/>
        <w:gridCol w:w="1634"/>
        <w:gridCol w:w="1303"/>
        <w:gridCol w:w="2381"/>
        <w:gridCol w:w="1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trPr>
        <w:tc>
          <w:tcPr>
            <w:tcW w:w="2601" w:type="dxa"/>
            <w:vMerge w:val="restart"/>
            <w:tcBorders>
              <w:tl2br w:val="nil"/>
              <w:tr2bl w:val="nil"/>
            </w:tcBorders>
            <mc:AlternateContent>
              <mc:Choice Requires="wpsCustomData">
                <wpsCustomData:diagonals>
                  <wpsCustomData:diagonal from="10000" to="30000">
                    <wpsCustomData:border w:val="single" w:color="auto" w:sz="8" w:space="0"/>
                  </wpsCustomData:diagonal>
                </wpsCustomData:diagonals>
              </mc:Choice>
            </mc:AlternateContent>
          </w:tcPr>
          <w:p>
            <w:pPr>
              <w:pStyle w:val="18"/>
              <w:spacing w:line="237" w:lineRule="auto"/>
              <w:ind w:right="26"/>
              <w:jc w:val="center"/>
              <w:rPr>
                <w:rFonts w:ascii="Times New Roman" w:hAnsi="Times New Roman" w:cs="Times New Roman"/>
                <w:b/>
                <w:sz w:val="21"/>
                <w:szCs w:val="21"/>
                <w:lang w:eastAsia="zh-CN"/>
              </w:rPr>
            </w:pPr>
          </w:p>
          <w:p>
            <w:pPr>
              <w:pStyle w:val="18"/>
              <w:snapToGrid w:val="0"/>
              <w:spacing w:line="240" w:lineRule="auto"/>
              <w:ind w:right="26"/>
              <mc:AlternateContent>
                <mc:Choice Requires="wpsCustomData">
                  <wpsCustomData:diagonalParaType/>
                </mc:Choice>
              </mc:AlternateContent>
              <w:rPr>
                <w:rFonts w:ascii="Times New Roman" w:hAnsi="Times New Roman" w:cs="Times New Roman"/>
                <w:b/>
                <w:sz w:val="21"/>
                <w:szCs w:val="21"/>
              </w:rPr>
            </w:pPr>
            <w:r>
              <w:rPr>
                <w:rFonts w:ascii="Times New Roman" w:hAnsi="Times New Roman" w:cs="Times New Roman"/>
                <w:b/>
                <w:sz w:val="21"/>
                <w:szCs w:val="21"/>
                <w:lang w:eastAsia="zh-CN"/>
              </w:rPr>
              <w:t>要素</w:t>
            </w:r>
          </w:p>
          <w:p>
            <w:pPr>
              <w:pStyle w:val="18"/>
              <w:spacing w:line="237" w:lineRule="auto"/>
              <w:ind w:right="26"/>
              <w:jc w:val="right"/>
              <w:rPr>
                <w:rFonts w:ascii="Times New Roman" w:hAnsi="Times New Roman" w:cs="Times New Roman"/>
                <w:b/>
                <w:sz w:val="21"/>
                <w:szCs w:val="21"/>
              </w:rPr>
            </w:pPr>
            <w:r>
              <w:rPr>
                <w:rFonts w:ascii="Times New Roman" w:hAnsi="Times New Roman" w:cs="Times New Roman"/>
                <w:b/>
                <w:sz w:val="21"/>
                <w:szCs w:val="21"/>
                <w:lang w:eastAsia="zh-CN"/>
              </w:rPr>
              <w:t>内容</w:t>
            </w:r>
          </w:p>
        </w:tc>
        <w:tc>
          <w:tcPr>
            <w:tcW w:w="2937" w:type="dxa"/>
            <w:gridSpan w:val="2"/>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施工期</w:t>
            </w:r>
          </w:p>
        </w:tc>
        <w:tc>
          <w:tcPr>
            <w:tcW w:w="4185" w:type="dxa"/>
            <w:gridSpan w:val="2"/>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vMerge w:val="continue"/>
            <w:tcBorders>
              <w:tl2br w:val="nil"/>
              <w:tr2bl w:val="nil"/>
            </w:tcBorders>
          </w:tcPr>
          <w:p>
            <w:pPr>
              <w:rPr>
                <w:rFonts w:ascii="Times New Roman" w:hAnsi="Times New Roman" w:cs="Times New Roman"/>
                <w:b/>
                <w:sz w:val="21"/>
                <w:szCs w:val="21"/>
              </w:rPr>
            </w:pPr>
          </w:p>
        </w:tc>
        <w:tc>
          <w:tcPr>
            <w:tcW w:w="1634"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环境保护措施</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验收要求</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环境保护措施</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陆生生态</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严格在采矿许可范围内开采，严禁超深、越界非法开采，禁止工作人员、机械设备、车辆等进入非许可范围采挖、碾压，最大限度减少对植被的破坏和动物的影响。车辆按照指定运输道路及路线行驶。加强对工作人员生态保护的宣传教育。</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落实本环评提出的各项生态环境保护措施。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水生生态</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地表水环境</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生活污水依托</w:t>
            </w: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阿克托别粘土矿</w:t>
            </w:r>
            <w:r>
              <w:rPr>
                <w:rFonts w:hint="eastAsia" w:ascii="Times New Roman" w:hAnsi="Times New Roman" w:cs="Times New Roman"/>
                <w:sz w:val="21"/>
                <w:szCs w:val="21"/>
                <w:lang w:eastAsia="zh-CN"/>
              </w:rPr>
              <w:t>东侧砖厂已建防渗化粪池收集。运营期加强对机械设备、车辆定期检修维护保养。不得随意在采矿区内冲洗机械设备和车辆。</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落实本环评提出的各项废水治理环保措施。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地下水及土壤环境</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tcPr>
          <w:p>
            <w:pPr>
              <w:jc w:val="center"/>
              <w:rPr>
                <w:rFonts w:ascii="Times New Roman" w:hAnsi="Times New Roman" w:cs="Times New Roman"/>
                <w:sz w:val="21"/>
                <w:szCs w:val="21"/>
              </w:rPr>
            </w:pPr>
            <w:r>
              <w:rPr>
                <w:rFonts w:ascii="Times New Roman" w:hAnsi="Times New Roman" w:cs="Times New Roman"/>
                <w:sz w:val="21"/>
                <w:szCs w:val="21"/>
                <w:lang w:eastAsia="zh-CN"/>
              </w:rPr>
              <w:t>无</w:t>
            </w:r>
          </w:p>
        </w:tc>
        <w:tc>
          <w:tcPr>
            <w:tcW w:w="2381" w:type="dxa"/>
            <w:tcBorders>
              <w:tl2br w:val="nil"/>
              <w:tr2bl w:val="nil"/>
            </w:tcBorders>
          </w:tcPr>
          <w:p>
            <w:pPr>
              <w:jc w:val="center"/>
              <w:rPr>
                <w:rFonts w:ascii="Times New Roman" w:hAnsi="Times New Roman" w:cs="Times New Roman"/>
                <w:sz w:val="21"/>
                <w:szCs w:val="21"/>
              </w:rPr>
            </w:pPr>
            <w:r>
              <w:rPr>
                <w:rFonts w:ascii="Times New Roman" w:hAnsi="Times New Roman" w:cs="Times New Roman"/>
                <w:sz w:val="21"/>
                <w:szCs w:val="21"/>
                <w:lang w:eastAsia="zh-CN"/>
              </w:rPr>
              <w:t>无</w:t>
            </w:r>
          </w:p>
        </w:tc>
        <w:tc>
          <w:tcPr>
            <w:tcW w:w="1804" w:type="dxa"/>
            <w:tcBorders>
              <w:tl2br w:val="nil"/>
              <w:tr2bl w:val="nil"/>
            </w:tcBorders>
          </w:tcPr>
          <w:p>
            <w:pPr>
              <w:jc w:val="center"/>
              <w:rPr>
                <w:rFonts w:ascii="Times New Roman" w:hAnsi="Times New Roman" w:cs="Times New Roman"/>
                <w:sz w:val="21"/>
                <w:szCs w:val="21"/>
              </w:rPr>
            </w:pPr>
            <w:r>
              <w:rPr>
                <w:rFonts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声环境</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采用低噪声机械设备；距离衰减来降噪；定期对机械设备进行检修维护保养；车辆行驶严格控制车速，严禁鸣笛。</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《工业企业厂界环境噪声排放标准》（</w:t>
            </w:r>
            <w:r>
              <w:rPr>
                <w:rFonts w:ascii="Times New Roman" w:hAnsi="Times New Roman" w:cs="Times New Roman"/>
                <w:sz w:val="21"/>
                <w:szCs w:val="21"/>
                <w:lang w:eastAsia="zh-CN"/>
              </w:rPr>
              <w:t>GB12348-2008）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bookmarkStart w:id="1" w:name="_Hlk98841787"/>
            <w:r>
              <w:rPr>
                <w:rFonts w:ascii="Times New Roman" w:hAnsi="Times New Roman" w:cs="Times New Roman"/>
                <w:b/>
                <w:sz w:val="21"/>
                <w:szCs w:val="21"/>
                <w:lang w:eastAsia="zh-CN"/>
              </w:rPr>
              <w:t>振动</w:t>
            </w:r>
          </w:p>
        </w:tc>
        <w:tc>
          <w:tcPr>
            <w:tcW w:w="1634" w:type="dxa"/>
            <w:tcBorders>
              <w:tl2br w:val="nil"/>
              <w:tr2bl w:val="nil"/>
            </w:tcBorders>
            <w:vAlign w:val="center"/>
          </w:tcPr>
          <w:p>
            <w:pPr>
              <w:jc w:val="center"/>
              <w:rPr>
                <w:sz w:val="21"/>
                <w:szCs w:val="21"/>
              </w:rPr>
            </w:pPr>
            <w:r>
              <w:rPr>
                <w:rFonts w:ascii="Times New Roman" w:hAnsi="Times New Roman" w:cs="Times New Roman"/>
                <w:sz w:val="21"/>
                <w:szCs w:val="21"/>
                <w:lang w:eastAsia="zh-CN"/>
              </w:rPr>
              <w:t>无</w:t>
            </w:r>
          </w:p>
        </w:tc>
        <w:tc>
          <w:tcPr>
            <w:tcW w:w="1303" w:type="dxa"/>
            <w:tcBorders>
              <w:tl2br w:val="nil"/>
              <w:tr2bl w:val="nil"/>
            </w:tcBorders>
            <w:vAlign w:val="center"/>
          </w:tcPr>
          <w:p>
            <w:pPr>
              <w:jc w:val="center"/>
              <w:rPr>
                <w:sz w:val="21"/>
                <w:szCs w:val="21"/>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bookmarkEnd w:id="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大气环境</w:t>
            </w:r>
          </w:p>
        </w:tc>
        <w:tc>
          <w:tcPr>
            <w:tcW w:w="1634" w:type="dxa"/>
            <w:tcBorders>
              <w:tl2br w:val="nil"/>
              <w:tr2bl w:val="nil"/>
            </w:tcBorders>
            <w:vAlign w:val="center"/>
          </w:tcPr>
          <w:p>
            <w:pPr>
              <w:jc w:val="center"/>
              <w:rPr>
                <w:sz w:val="21"/>
                <w:szCs w:val="21"/>
              </w:rPr>
            </w:pPr>
            <w:r>
              <w:rPr>
                <w:rFonts w:ascii="Times New Roman" w:hAnsi="Times New Roman" w:cs="Times New Roman"/>
                <w:sz w:val="21"/>
                <w:szCs w:val="21"/>
                <w:lang w:eastAsia="zh-CN"/>
              </w:rPr>
              <w:t>无</w:t>
            </w:r>
          </w:p>
        </w:tc>
        <w:tc>
          <w:tcPr>
            <w:tcW w:w="1303" w:type="dxa"/>
            <w:tcBorders>
              <w:tl2br w:val="nil"/>
              <w:tr2bl w:val="nil"/>
            </w:tcBorders>
            <w:vAlign w:val="center"/>
          </w:tcPr>
          <w:p>
            <w:pPr>
              <w:jc w:val="center"/>
              <w:rPr>
                <w:sz w:val="21"/>
                <w:szCs w:val="21"/>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开采区域、作业面采取洒水车洒水抑尘措施；粘土矿装载过程降低高度差，雾炮机洒水抑尘；运输车辆低速行驶，道路定期洒水，车斗苫布遮蔽；遇大风天气停止采矿作业，作业面覆盖防尘布、遮网；加强施工机械、车辆的日常检修维护保养。</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工艺扬尘</w:t>
            </w:r>
            <w:r>
              <w:rPr>
                <w:rFonts w:ascii="Times New Roman" w:hAnsi="Times New Roman" w:cs="Times New Roman"/>
                <w:sz w:val="21"/>
                <w:szCs w:val="21"/>
                <w:lang w:eastAsia="zh-CN"/>
              </w:rPr>
              <w:t>排放满足《大气污染物综合排放标准》（GB 16297-1996）表2“新污染源大气污染物排放限值”无组织排放标准；</w:t>
            </w:r>
            <w:r>
              <w:rPr>
                <w:rFonts w:hint="eastAsia" w:ascii="Times New Roman" w:hAnsi="Times New Roman" w:cs="Times New Roman"/>
                <w:sz w:val="21"/>
                <w:szCs w:val="21"/>
                <w:lang w:eastAsia="zh-CN"/>
              </w:rPr>
              <w:t>交通扬尘、尾气不得对区域大气环境产生明显影响。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固体废物</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统一收集后交由环卫部门处置</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bCs/>
                <w:color w:val="000000" w:themeColor="text1"/>
                <w:sz w:val="21"/>
                <w:szCs w:val="21"/>
                <w:lang w:val="zh-CN" w:eastAsia="zh-CN"/>
                <w14:textFill>
                  <w14:solidFill>
                    <w14:schemeClr w14:val="tx1"/>
                  </w14:solidFill>
                </w14:textFill>
              </w:rPr>
              <w:t>《一般工业固体废物贮存和填埋污染物控制标准》（</w:t>
            </w:r>
            <w:r>
              <w:rPr>
                <w:rFonts w:ascii="Times New Roman" w:hAnsi="Times New Roman" w:cs="Times New Roman"/>
                <w:bCs/>
                <w:color w:val="000000" w:themeColor="text1"/>
                <w:sz w:val="21"/>
                <w:szCs w:val="21"/>
                <w:lang w:val="zh-CN" w:eastAsia="zh-CN"/>
                <w14:textFill>
                  <w14:solidFill>
                    <w14:schemeClr w14:val="tx1"/>
                  </w14:solidFill>
                </w14:textFill>
              </w:rPr>
              <w:t>GB 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电磁环境</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环境风险</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环境监测</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ascii="Times New Roman" w:hAnsi="Times New Roman" w:cs="Times New Roman"/>
                <w:sz w:val="21"/>
                <w:szCs w:val="21"/>
                <w:lang w:eastAsia="zh-CN"/>
              </w:rPr>
              <w:t>噪声满足《建筑施工场界环境噪声排放标准》（GB 12523-2011）的要求。</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厂界T</w:t>
            </w:r>
            <w:r>
              <w:rPr>
                <w:rFonts w:ascii="Times New Roman" w:hAnsi="Times New Roman" w:cs="Times New Roman"/>
                <w:sz w:val="21"/>
                <w:szCs w:val="21"/>
                <w:lang w:eastAsia="zh-CN"/>
              </w:rPr>
              <w:t>SP</w:t>
            </w:r>
          </w:p>
          <w:p>
            <w:pPr>
              <w:pStyle w:val="18"/>
              <w:spacing w:line="237" w:lineRule="auto"/>
              <w:ind w:right="26"/>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厂界噪声</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T</w:t>
            </w:r>
            <w:r>
              <w:rPr>
                <w:rFonts w:ascii="Times New Roman" w:hAnsi="Times New Roman" w:cs="Times New Roman"/>
                <w:sz w:val="21"/>
                <w:szCs w:val="21"/>
                <w:lang w:eastAsia="zh-CN"/>
              </w:rPr>
              <w:t>SP</w:t>
            </w:r>
            <w:r>
              <w:rPr>
                <w:rFonts w:hint="eastAsia" w:ascii="Times New Roman" w:hAnsi="Times New Roman" w:cs="Times New Roman"/>
                <w:sz w:val="21"/>
                <w:szCs w:val="21"/>
                <w:lang w:eastAsia="zh-CN"/>
              </w:rPr>
              <w:t>执行《大气污染物综合排放标准》（</w:t>
            </w:r>
            <w:r>
              <w:rPr>
                <w:rFonts w:ascii="Times New Roman" w:hAnsi="Times New Roman" w:cs="Times New Roman"/>
                <w:sz w:val="21"/>
                <w:szCs w:val="21"/>
                <w:lang w:eastAsia="zh-CN"/>
              </w:rPr>
              <w:t>GB16297-1996）无组织排放限值要求</w:t>
            </w:r>
            <w:r>
              <w:rPr>
                <w:rFonts w:hint="eastAsia" w:ascii="Times New Roman" w:hAnsi="Times New Roman" w:cs="Times New Roman"/>
                <w:sz w:val="21"/>
                <w:szCs w:val="21"/>
                <w:lang w:eastAsia="zh-CN"/>
              </w:rPr>
              <w:t>；噪声执行《工业企业厂界环境噪声排放标准》（</w:t>
            </w:r>
            <w:r>
              <w:rPr>
                <w:rFonts w:ascii="Times New Roman" w:hAnsi="Times New Roman" w:cs="Times New Roman"/>
                <w:sz w:val="21"/>
                <w:szCs w:val="21"/>
                <w:lang w:eastAsia="zh-CN"/>
              </w:rPr>
              <w:t>GB12348-2008）</w:t>
            </w:r>
            <w:r>
              <w:rPr>
                <w:rFonts w:hint="eastAsia" w:ascii="Times New Roman" w:hAnsi="Times New Roman" w:cs="Times New Roman"/>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其他</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bl>
    <w:p>
      <w:pPr>
        <w:rPr>
          <w:rFonts w:ascii="Times New Roman" w:hAnsi="Times New Roman" w:cs="Times New Roman"/>
          <w:sz w:val="21"/>
        </w:rPr>
      </w:pPr>
    </w:p>
    <w:p>
      <w:pPr>
        <w:rPr>
          <w:rFonts w:ascii="Times New Roman" w:hAnsi="Times New Roman" w:cs="Times New Roman"/>
          <w:sz w:val="21"/>
        </w:rPr>
        <w:sectPr>
          <w:type w:val="nextColumn"/>
          <w:pgSz w:w="11913" w:h="1684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8"/>
        <w:jc w:val="center"/>
        <w:rPr>
          <w:rFonts w:ascii="Times New Roman" w:hAnsi="Times New Roman" w:cs="Times New Roman"/>
          <w:b/>
          <w:bCs/>
          <w:lang w:eastAsia="zh-CN"/>
        </w:rPr>
      </w:pPr>
      <w:r>
        <w:rPr>
          <w:rFonts w:ascii="Times New Roman" w:hAnsi="Times New Roman" w:cs="Times New Roman"/>
          <w:b/>
          <w:bCs/>
          <w:lang w:eastAsia="zh-CN"/>
        </w:rPr>
        <w:t>七、结论</w:t>
      </w:r>
    </w:p>
    <w:tbl>
      <w:tblPr>
        <w:tblStyle w:val="15"/>
        <w:tblW w:w="9861" w:type="dxa"/>
        <w:tblInd w:w="0" w:type="dxa"/>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
      <w:tblGrid>
        <w:gridCol w:w="9861"/>
      </w:tblGrid>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Ex>
        <w:trPr>
          <w:trHeight w:val="13597" w:hRule="atLeast"/>
        </w:trPr>
        <w:tc>
          <w:tcPr>
            <w:tcW w:w="9861" w:type="dxa"/>
          </w:tcPr>
          <w:p>
            <w:pPr>
              <w:autoSpaceDE/>
              <w:autoSpaceDN/>
              <w:spacing w:line="360" w:lineRule="auto"/>
              <w:ind w:firstLine="420" w:firstLineChars="200"/>
              <w:jc w:val="both"/>
              <w:rPr>
                <w:rFonts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本项目符合国家产业政策、符合相关规划、选址合理。在认真落实本环评报告提出的各项污染防治措施，严格执行国家的有关规定，做到主体工程与环境污染防治设施“三同时”的前提下，从环保角度上讲，本项目建设是可行的。</w:t>
            </w: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tc>
      </w:tr>
    </w:tbl>
    <w:p>
      <w:pPr>
        <w:pStyle w:val="7"/>
        <w:rPr>
          <w:rFonts w:ascii="宋体" w:hAnsi="宋体" w:eastAsia="宋体" w:cs="Times New Roman"/>
          <w:sz w:val="21"/>
          <w:lang w:eastAsia="zh-CN"/>
        </w:rPr>
      </w:pPr>
    </w:p>
    <w:sectPr>
      <w:pgSz w:w="11913" w:h="16840"/>
      <w:pgMar w:top="1134" w:right="1134" w:bottom="1134" w:left="1134" w:header="0" w:footer="1043"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9341077"/>
    </w:sdtPr>
    <w:sdtContent>
      <w:p>
        <w:pPr>
          <w:pStyle w:val="9"/>
          <w:jc w:val="center"/>
        </w:pPr>
        <w:r>
          <w:fldChar w:fldCharType="begin"/>
        </w:r>
        <w:r>
          <w:instrText xml:space="preserve">PAGE   \* MERGEFORMAT</w:instrText>
        </w:r>
        <w:r>
          <w:fldChar w:fldCharType="separate"/>
        </w:r>
        <w:r>
          <w:rPr>
            <w:lang w:val="zh-CN" w:eastAsia="zh-CN"/>
          </w:rPr>
          <w:t>7</w:t>
        </w:r>
        <w:r>
          <w:fldChar w:fldCharType="end"/>
        </w:r>
      </w:p>
    </w:sdtContent>
  </w:sdt>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960120</wp:posOffset>
              </wp:positionH>
              <wp:positionV relativeFrom="page">
                <wp:posOffset>9890760</wp:posOffset>
              </wp:positionV>
              <wp:extent cx="801370" cy="2038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801370" cy="203835"/>
                      </a:xfrm>
                      <a:prstGeom prst="rect">
                        <a:avLst/>
                      </a:prstGeom>
                      <a:noFill/>
                      <a:ln>
                        <a:noFill/>
                      </a:ln>
                    </wps:spPr>
                    <wps:txbx>
                      <w:txbxContent>
                        <w:p>
                          <w:pPr>
                            <w:spacing w:line="301" w:lineRule="exact"/>
                            <w:ind w:left="20"/>
                            <w:rPr>
                              <w:sz w:val="28"/>
                            </w:rPr>
                          </w:pPr>
                        </w:p>
                      </w:txbxContent>
                    </wps:txbx>
                    <wps:bodyPr lIns="0" tIns="0" rIns="0" bIns="0" upright="1"/>
                  </wps:wsp>
                </a:graphicData>
              </a:graphic>
            </wp:anchor>
          </w:drawing>
        </mc:Choice>
        <mc:Fallback>
          <w:pict>
            <v:shape id="文本框 1" o:spid="_x0000_s1026" o:spt="202" type="#_x0000_t202" style="position:absolute;left:0pt;margin-left:75.6pt;margin-top:778.8pt;height:16.05pt;width:63.1pt;mso-position-horizontal-relative:page;mso-position-vertical-relative:page;z-index:-251655168;mso-width-relative:page;mso-height-relative:page;" filled="f" stroked="f" coordsize="21600,21600" o:gfxdata="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nMh3tsAAAANAQAADwAAAAAA&#10;AAABACAAAAAiAAAAZHJzL2Rvd25yZXYueG1sUEsBAhQAFAAAAAgAh07iQK6mD6yeAQAAIwMAAA4A&#10;AAAAAAAAAQAgAAAAKgEAAGRycy9lMm9Eb2MueG1sUEsFBgAAAAAGAAYAWQEAADoFAAAAAA==&#10;">
              <v:fill on="f" focussize="0,0"/>
              <v:stroke on="f"/>
              <v:imagedata o:title=""/>
              <o:lock v:ext="edit" aspectratio="f"/>
              <v:textbox inset="0mm,0mm,0mm,0mm">
                <w:txbxContent>
                  <w:p>
                    <w:pPr>
                      <w:spacing w:line="301" w:lineRule="exact"/>
                      <w:ind w:left="20"/>
                      <w:rPr>
                        <w:sz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239060"/>
    </w:sdtPr>
    <w:sdtContent>
      <w:p>
        <w:pPr>
          <w:pStyle w:val="9"/>
          <w:jc w:val="center"/>
        </w:pPr>
        <w:r>
          <w:fldChar w:fldCharType="begin"/>
        </w:r>
        <w:r>
          <w:instrText xml:space="preserve">PAGE   \* MERGEFORMAT</w:instrText>
        </w:r>
        <w:r>
          <w:fldChar w:fldCharType="separate"/>
        </w:r>
        <w:r>
          <w:rPr>
            <w:lang w:val="zh-CN" w:eastAsia="zh-CN"/>
          </w:rPr>
          <w:t>39</w:t>
        </w:r>
        <w:r>
          <w:fldChar w:fldCharType="end"/>
        </w:r>
      </w:p>
    </w:sdtContent>
  </w:sdt>
  <w:p>
    <w:pPr>
      <w:pStyle w:val="7"/>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1130300</wp:posOffset>
              </wp:positionH>
              <wp:positionV relativeFrom="page">
                <wp:posOffset>9890760</wp:posOffset>
              </wp:positionV>
              <wp:extent cx="801370" cy="203835"/>
              <wp:effectExtent l="0" t="0" r="0" b="0"/>
              <wp:wrapNone/>
              <wp:docPr id="5" name="文本框 2"/>
              <wp:cNvGraphicFramePr/>
              <a:graphic xmlns:a="http://schemas.openxmlformats.org/drawingml/2006/main">
                <a:graphicData uri="http://schemas.microsoft.com/office/word/2010/wordprocessingShape">
                  <wps:wsp>
                    <wps:cNvSpPr txBox="1"/>
                    <wps:spPr>
                      <a:xfrm>
                        <a:off x="0" y="0"/>
                        <a:ext cx="801370" cy="203835"/>
                      </a:xfrm>
                      <a:prstGeom prst="rect">
                        <a:avLst/>
                      </a:prstGeom>
                      <a:noFill/>
                      <a:ln>
                        <a:noFill/>
                      </a:ln>
                    </wps:spPr>
                    <wps:txbx>
                      <w:txbxContent>
                        <w:p>
                          <w:pPr>
                            <w:spacing w:line="301" w:lineRule="exact"/>
                            <w:ind w:left="20"/>
                            <w:rPr>
                              <w:sz w:val="28"/>
                            </w:rPr>
                          </w:pPr>
                        </w:p>
                      </w:txbxContent>
                    </wps:txbx>
                    <wps:bodyPr lIns="0" tIns="0" rIns="0" bIns="0" upright="1"/>
                  </wps:wsp>
                </a:graphicData>
              </a:graphic>
            </wp:anchor>
          </w:drawing>
        </mc:Choice>
        <mc:Fallback>
          <w:pict>
            <v:shape id="文本框 2" o:spid="_x0000_s1026" o:spt="202" type="#_x0000_t202" style="position:absolute;left:0pt;margin-left:89pt;margin-top:778.8pt;height:16.05pt;width:63.1pt;mso-position-horizontal-relative:page;mso-position-vertical-relative:page;z-index:-251655168;mso-width-relative:page;mso-height-relative:page;" filled="f" stroked="f" coordsize="21600,21600" o:gfxdata="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LdDVNsAAAANAQAADwAAAAAA&#10;AAABACAAAAAiAAAAZHJzL2Rvd25yZXYueG1sUEsBAhQAFAAAAAgAh07iQIc6cqqeAQAAIwMAAA4A&#10;AAAAAAAAAQAgAAAAKgEAAGRycy9lMm9Eb2MueG1sUEsFBgAAAAAGAAYAWQEAADoFAAAAAA==&#10;">
              <v:fill on="f" focussize="0,0"/>
              <v:stroke on="f"/>
              <v:imagedata o:title=""/>
              <o:lock v:ext="edit" aspectratio="f"/>
              <v:textbox inset="0mm,0mm,0mm,0mm">
                <w:txbxContent>
                  <w:p>
                    <w:pPr>
                      <w:spacing w:line="301" w:lineRule="exact"/>
                      <w:ind w:left="20"/>
                      <w:rPr>
                        <w:sz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MGQ1Y2I0ZWNlYTRlNWUxMTA5MTYyZGMzYzAyMzIifQ=="/>
  </w:docVars>
  <w:rsids>
    <w:rsidRoot w:val="00715815"/>
    <w:rsid w:val="00000187"/>
    <w:rsid w:val="00000523"/>
    <w:rsid w:val="00000583"/>
    <w:rsid w:val="000006DB"/>
    <w:rsid w:val="0000164D"/>
    <w:rsid w:val="000018A8"/>
    <w:rsid w:val="00001B96"/>
    <w:rsid w:val="00001C29"/>
    <w:rsid w:val="000029BC"/>
    <w:rsid w:val="00002D80"/>
    <w:rsid w:val="00002E55"/>
    <w:rsid w:val="000039B6"/>
    <w:rsid w:val="00003D5B"/>
    <w:rsid w:val="00004508"/>
    <w:rsid w:val="000045AF"/>
    <w:rsid w:val="00004B71"/>
    <w:rsid w:val="00004D2D"/>
    <w:rsid w:val="0000511F"/>
    <w:rsid w:val="000054AD"/>
    <w:rsid w:val="000056FD"/>
    <w:rsid w:val="000058B8"/>
    <w:rsid w:val="00005ADE"/>
    <w:rsid w:val="00005D77"/>
    <w:rsid w:val="00005FF0"/>
    <w:rsid w:val="00006159"/>
    <w:rsid w:val="00006496"/>
    <w:rsid w:val="00006D63"/>
    <w:rsid w:val="00006E5F"/>
    <w:rsid w:val="00006F39"/>
    <w:rsid w:val="00010C42"/>
    <w:rsid w:val="00011135"/>
    <w:rsid w:val="00012286"/>
    <w:rsid w:val="0001257E"/>
    <w:rsid w:val="0001292B"/>
    <w:rsid w:val="00012E3C"/>
    <w:rsid w:val="0001303F"/>
    <w:rsid w:val="00013AD3"/>
    <w:rsid w:val="00013E73"/>
    <w:rsid w:val="00014148"/>
    <w:rsid w:val="00014488"/>
    <w:rsid w:val="00014BB5"/>
    <w:rsid w:val="00014C45"/>
    <w:rsid w:val="00014D96"/>
    <w:rsid w:val="00014E4F"/>
    <w:rsid w:val="0001511A"/>
    <w:rsid w:val="000159AF"/>
    <w:rsid w:val="00015FC7"/>
    <w:rsid w:val="000160FC"/>
    <w:rsid w:val="00016DEE"/>
    <w:rsid w:val="00017134"/>
    <w:rsid w:val="00017264"/>
    <w:rsid w:val="000174C6"/>
    <w:rsid w:val="00017EAF"/>
    <w:rsid w:val="00020071"/>
    <w:rsid w:val="00020140"/>
    <w:rsid w:val="000206E1"/>
    <w:rsid w:val="000212AC"/>
    <w:rsid w:val="00021978"/>
    <w:rsid w:val="00021C41"/>
    <w:rsid w:val="00021C4F"/>
    <w:rsid w:val="00021EAB"/>
    <w:rsid w:val="0002217A"/>
    <w:rsid w:val="0002259C"/>
    <w:rsid w:val="00022EE1"/>
    <w:rsid w:val="0002327C"/>
    <w:rsid w:val="00023B5D"/>
    <w:rsid w:val="000245A7"/>
    <w:rsid w:val="00024756"/>
    <w:rsid w:val="00024D35"/>
    <w:rsid w:val="000250BB"/>
    <w:rsid w:val="00025697"/>
    <w:rsid w:val="0002572C"/>
    <w:rsid w:val="00026E3D"/>
    <w:rsid w:val="00026ED0"/>
    <w:rsid w:val="00027B12"/>
    <w:rsid w:val="00027E69"/>
    <w:rsid w:val="000303C5"/>
    <w:rsid w:val="00032487"/>
    <w:rsid w:val="000324D6"/>
    <w:rsid w:val="00032703"/>
    <w:rsid w:val="00032996"/>
    <w:rsid w:val="0003299F"/>
    <w:rsid w:val="00033719"/>
    <w:rsid w:val="00034133"/>
    <w:rsid w:val="0003444E"/>
    <w:rsid w:val="0003482B"/>
    <w:rsid w:val="00034EF8"/>
    <w:rsid w:val="00034FA2"/>
    <w:rsid w:val="00035AC8"/>
    <w:rsid w:val="0003727A"/>
    <w:rsid w:val="0003748F"/>
    <w:rsid w:val="0003787E"/>
    <w:rsid w:val="00037903"/>
    <w:rsid w:val="000405AF"/>
    <w:rsid w:val="00041013"/>
    <w:rsid w:val="0004109A"/>
    <w:rsid w:val="00041430"/>
    <w:rsid w:val="000416C5"/>
    <w:rsid w:val="00042501"/>
    <w:rsid w:val="00042525"/>
    <w:rsid w:val="00042B99"/>
    <w:rsid w:val="00043B4A"/>
    <w:rsid w:val="000443EB"/>
    <w:rsid w:val="000443FD"/>
    <w:rsid w:val="00044B55"/>
    <w:rsid w:val="00045613"/>
    <w:rsid w:val="00045727"/>
    <w:rsid w:val="00045DF1"/>
    <w:rsid w:val="000467A9"/>
    <w:rsid w:val="00046990"/>
    <w:rsid w:val="00046CAD"/>
    <w:rsid w:val="00047216"/>
    <w:rsid w:val="000472E3"/>
    <w:rsid w:val="00050703"/>
    <w:rsid w:val="00050C91"/>
    <w:rsid w:val="00050D13"/>
    <w:rsid w:val="00051459"/>
    <w:rsid w:val="00051674"/>
    <w:rsid w:val="0005168F"/>
    <w:rsid w:val="000519CA"/>
    <w:rsid w:val="00051F34"/>
    <w:rsid w:val="00052080"/>
    <w:rsid w:val="00052507"/>
    <w:rsid w:val="00052542"/>
    <w:rsid w:val="00052635"/>
    <w:rsid w:val="000531D1"/>
    <w:rsid w:val="00053333"/>
    <w:rsid w:val="000535CA"/>
    <w:rsid w:val="00053800"/>
    <w:rsid w:val="00053BBE"/>
    <w:rsid w:val="000540C0"/>
    <w:rsid w:val="000554C0"/>
    <w:rsid w:val="00055714"/>
    <w:rsid w:val="00056439"/>
    <w:rsid w:val="000569AC"/>
    <w:rsid w:val="00056CEB"/>
    <w:rsid w:val="00056D57"/>
    <w:rsid w:val="00056F8E"/>
    <w:rsid w:val="0005746E"/>
    <w:rsid w:val="000578C4"/>
    <w:rsid w:val="00057BEC"/>
    <w:rsid w:val="00060443"/>
    <w:rsid w:val="000608F0"/>
    <w:rsid w:val="00060EE9"/>
    <w:rsid w:val="00061056"/>
    <w:rsid w:val="00061443"/>
    <w:rsid w:val="00061A22"/>
    <w:rsid w:val="000625AC"/>
    <w:rsid w:val="00062754"/>
    <w:rsid w:val="000629B3"/>
    <w:rsid w:val="00063143"/>
    <w:rsid w:val="000636CF"/>
    <w:rsid w:val="00063944"/>
    <w:rsid w:val="00063BE1"/>
    <w:rsid w:val="000641A7"/>
    <w:rsid w:val="00064C63"/>
    <w:rsid w:val="00064E79"/>
    <w:rsid w:val="00064FD7"/>
    <w:rsid w:val="00065395"/>
    <w:rsid w:val="000653A5"/>
    <w:rsid w:val="00065A2C"/>
    <w:rsid w:val="00065D49"/>
    <w:rsid w:val="00065F3B"/>
    <w:rsid w:val="0006617C"/>
    <w:rsid w:val="000665CE"/>
    <w:rsid w:val="000668A4"/>
    <w:rsid w:val="00066B5B"/>
    <w:rsid w:val="000670A0"/>
    <w:rsid w:val="0006731E"/>
    <w:rsid w:val="00067749"/>
    <w:rsid w:val="00067A58"/>
    <w:rsid w:val="00067A7A"/>
    <w:rsid w:val="00067B44"/>
    <w:rsid w:val="00067DFF"/>
    <w:rsid w:val="00070147"/>
    <w:rsid w:val="00070FDA"/>
    <w:rsid w:val="00071D4D"/>
    <w:rsid w:val="00072501"/>
    <w:rsid w:val="00072646"/>
    <w:rsid w:val="000729F5"/>
    <w:rsid w:val="0007348E"/>
    <w:rsid w:val="0007380D"/>
    <w:rsid w:val="0007457A"/>
    <w:rsid w:val="0007481E"/>
    <w:rsid w:val="00075028"/>
    <w:rsid w:val="00075192"/>
    <w:rsid w:val="00075381"/>
    <w:rsid w:val="000753E8"/>
    <w:rsid w:val="00075F21"/>
    <w:rsid w:val="000760C6"/>
    <w:rsid w:val="00076C02"/>
    <w:rsid w:val="0007734B"/>
    <w:rsid w:val="0007747C"/>
    <w:rsid w:val="00077641"/>
    <w:rsid w:val="00077989"/>
    <w:rsid w:val="00077C2E"/>
    <w:rsid w:val="000808B9"/>
    <w:rsid w:val="00080B57"/>
    <w:rsid w:val="00081036"/>
    <w:rsid w:val="000816E8"/>
    <w:rsid w:val="0008172F"/>
    <w:rsid w:val="00081BCB"/>
    <w:rsid w:val="0008309B"/>
    <w:rsid w:val="0008319F"/>
    <w:rsid w:val="000836D9"/>
    <w:rsid w:val="00083D6D"/>
    <w:rsid w:val="00083FA4"/>
    <w:rsid w:val="00084083"/>
    <w:rsid w:val="00084F62"/>
    <w:rsid w:val="000857BB"/>
    <w:rsid w:val="00085917"/>
    <w:rsid w:val="00086674"/>
    <w:rsid w:val="00086DFE"/>
    <w:rsid w:val="000874DA"/>
    <w:rsid w:val="00087B90"/>
    <w:rsid w:val="00087C7A"/>
    <w:rsid w:val="00087F93"/>
    <w:rsid w:val="00090D60"/>
    <w:rsid w:val="00090E2E"/>
    <w:rsid w:val="00090F3F"/>
    <w:rsid w:val="0009166F"/>
    <w:rsid w:val="00091855"/>
    <w:rsid w:val="00091DBD"/>
    <w:rsid w:val="0009300D"/>
    <w:rsid w:val="000941AD"/>
    <w:rsid w:val="000947B7"/>
    <w:rsid w:val="00095228"/>
    <w:rsid w:val="00095660"/>
    <w:rsid w:val="000958FF"/>
    <w:rsid w:val="00095A70"/>
    <w:rsid w:val="00096797"/>
    <w:rsid w:val="00097139"/>
    <w:rsid w:val="00097331"/>
    <w:rsid w:val="000976B3"/>
    <w:rsid w:val="000979BA"/>
    <w:rsid w:val="00097FC1"/>
    <w:rsid w:val="000A10E8"/>
    <w:rsid w:val="000A1A34"/>
    <w:rsid w:val="000A2382"/>
    <w:rsid w:val="000A29AF"/>
    <w:rsid w:val="000A2C10"/>
    <w:rsid w:val="000A3395"/>
    <w:rsid w:val="000A34C3"/>
    <w:rsid w:val="000A3CB5"/>
    <w:rsid w:val="000A3E59"/>
    <w:rsid w:val="000A4B86"/>
    <w:rsid w:val="000A4C65"/>
    <w:rsid w:val="000A55BC"/>
    <w:rsid w:val="000A63E6"/>
    <w:rsid w:val="000A6494"/>
    <w:rsid w:val="000A6551"/>
    <w:rsid w:val="000A6CB5"/>
    <w:rsid w:val="000A6DA5"/>
    <w:rsid w:val="000A7B63"/>
    <w:rsid w:val="000A7E1A"/>
    <w:rsid w:val="000B0A8F"/>
    <w:rsid w:val="000B0FE8"/>
    <w:rsid w:val="000B1157"/>
    <w:rsid w:val="000B1226"/>
    <w:rsid w:val="000B12E4"/>
    <w:rsid w:val="000B1A1A"/>
    <w:rsid w:val="000B2CAC"/>
    <w:rsid w:val="000B2D98"/>
    <w:rsid w:val="000B33F3"/>
    <w:rsid w:val="000B3623"/>
    <w:rsid w:val="000B4562"/>
    <w:rsid w:val="000B47AA"/>
    <w:rsid w:val="000B481E"/>
    <w:rsid w:val="000B48F6"/>
    <w:rsid w:val="000B4BFD"/>
    <w:rsid w:val="000B4FBA"/>
    <w:rsid w:val="000B5146"/>
    <w:rsid w:val="000B533B"/>
    <w:rsid w:val="000B6566"/>
    <w:rsid w:val="000B65B9"/>
    <w:rsid w:val="000B6665"/>
    <w:rsid w:val="000B676F"/>
    <w:rsid w:val="000B7978"/>
    <w:rsid w:val="000B7C34"/>
    <w:rsid w:val="000C030B"/>
    <w:rsid w:val="000C1239"/>
    <w:rsid w:val="000C1BBC"/>
    <w:rsid w:val="000C1D4E"/>
    <w:rsid w:val="000C20CF"/>
    <w:rsid w:val="000C21F3"/>
    <w:rsid w:val="000C2313"/>
    <w:rsid w:val="000C2670"/>
    <w:rsid w:val="000C2FD4"/>
    <w:rsid w:val="000C40D3"/>
    <w:rsid w:val="000C4547"/>
    <w:rsid w:val="000C46E1"/>
    <w:rsid w:val="000C6CFD"/>
    <w:rsid w:val="000C6E3A"/>
    <w:rsid w:val="000C717C"/>
    <w:rsid w:val="000C74A7"/>
    <w:rsid w:val="000C797B"/>
    <w:rsid w:val="000C7CAB"/>
    <w:rsid w:val="000C7D67"/>
    <w:rsid w:val="000D0597"/>
    <w:rsid w:val="000D05A6"/>
    <w:rsid w:val="000D0623"/>
    <w:rsid w:val="000D081F"/>
    <w:rsid w:val="000D1735"/>
    <w:rsid w:val="000D1AF0"/>
    <w:rsid w:val="000D1B7F"/>
    <w:rsid w:val="000D1E69"/>
    <w:rsid w:val="000D243E"/>
    <w:rsid w:val="000D2497"/>
    <w:rsid w:val="000D2785"/>
    <w:rsid w:val="000D2D07"/>
    <w:rsid w:val="000D2E69"/>
    <w:rsid w:val="000D374B"/>
    <w:rsid w:val="000D3BEE"/>
    <w:rsid w:val="000D41CE"/>
    <w:rsid w:val="000D5045"/>
    <w:rsid w:val="000D50D1"/>
    <w:rsid w:val="000D57EE"/>
    <w:rsid w:val="000D6731"/>
    <w:rsid w:val="000D67F6"/>
    <w:rsid w:val="000D69EA"/>
    <w:rsid w:val="000D6DB5"/>
    <w:rsid w:val="000D73E9"/>
    <w:rsid w:val="000D7C09"/>
    <w:rsid w:val="000D7F5B"/>
    <w:rsid w:val="000D7FC4"/>
    <w:rsid w:val="000E0083"/>
    <w:rsid w:val="000E0158"/>
    <w:rsid w:val="000E030B"/>
    <w:rsid w:val="000E043C"/>
    <w:rsid w:val="000E05A9"/>
    <w:rsid w:val="000E0E51"/>
    <w:rsid w:val="000E2208"/>
    <w:rsid w:val="000E2422"/>
    <w:rsid w:val="000E2DBC"/>
    <w:rsid w:val="000E31F2"/>
    <w:rsid w:val="000E337F"/>
    <w:rsid w:val="000E3872"/>
    <w:rsid w:val="000E3CD2"/>
    <w:rsid w:val="000E3F8B"/>
    <w:rsid w:val="000E4390"/>
    <w:rsid w:val="000E6115"/>
    <w:rsid w:val="000E6ADE"/>
    <w:rsid w:val="000E6B51"/>
    <w:rsid w:val="000E6BE3"/>
    <w:rsid w:val="000E7042"/>
    <w:rsid w:val="000E74E3"/>
    <w:rsid w:val="000F0001"/>
    <w:rsid w:val="000F0028"/>
    <w:rsid w:val="000F16CC"/>
    <w:rsid w:val="000F17F3"/>
    <w:rsid w:val="000F1C85"/>
    <w:rsid w:val="000F227D"/>
    <w:rsid w:val="000F3368"/>
    <w:rsid w:val="000F3980"/>
    <w:rsid w:val="000F459F"/>
    <w:rsid w:val="000F477D"/>
    <w:rsid w:val="000F61B9"/>
    <w:rsid w:val="000F7019"/>
    <w:rsid w:val="000F7BBF"/>
    <w:rsid w:val="000F7E04"/>
    <w:rsid w:val="00100291"/>
    <w:rsid w:val="001002E9"/>
    <w:rsid w:val="00100D61"/>
    <w:rsid w:val="0010198A"/>
    <w:rsid w:val="00101CF0"/>
    <w:rsid w:val="001035A2"/>
    <w:rsid w:val="00104696"/>
    <w:rsid w:val="0010501E"/>
    <w:rsid w:val="001051A4"/>
    <w:rsid w:val="001055B0"/>
    <w:rsid w:val="001059E5"/>
    <w:rsid w:val="00105F6C"/>
    <w:rsid w:val="001070A3"/>
    <w:rsid w:val="001070DF"/>
    <w:rsid w:val="001071B2"/>
    <w:rsid w:val="00107283"/>
    <w:rsid w:val="00110710"/>
    <w:rsid w:val="001108AE"/>
    <w:rsid w:val="0011141E"/>
    <w:rsid w:val="001118A4"/>
    <w:rsid w:val="001119FD"/>
    <w:rsid w:val="001123BD"/>
    <w:rsid w:val="00112F1D"/>
    <w:rsid w:val="001131D6"/>
    <w:rsid w:val="0011337D"/>
    <w:rsid w:val="001136C9"/>
    <w:rsid w:val="00113818"/>
    <w:rsid w:val="00113877"/>
    <w:rsid w:val="001144E1"/>
    <w:rsid w:val="00114A27"/>
    <w:rsid w:val="001158A8"/>
    <w:rsid w:val="00116205"/>
    <w:rsid w:val="00116D07"/>
    <w:rsid w:val="0011725C"/>
    <w:rsid w:val="00117493"/>
    <w:rsid w:val="001175B6"/>
    <w:rsid w:val="001178D9"/>
    <w:rsid w:val="00117B06"/>
    <w:rsid w:val="00117E0E"/>
    <w:rsid w:val="00117F9A"/>
    <w:rsid w:val="001205FE"/>
    <w:rsid w:val="0012066A"/>
    <w:rsid w:val="001207F8"/>
    <w:rsid w:val="00121F5B"/>
    <w:rsid w:val="001221CB"/>
    <w:rsid w:val="0012275C"/>
    <w:rsid w:val="00122AEF"/>
    <w:rsid w:val="0012306B"/>
    <w:rsid w:val="00123D89"/>
    <w:rsid w:val="0012412F"/>
    <w:rsid w:val="0012440F"/>
    <w:rsid w:val="001248BF"/>
    <w:rsid w:val="0012542A"/>
    <w:rsid w:val="001254BF"/>
    <w:rsid w:val="00130EED"/>
    <w:rsid w:val="0013120C"/>
    <w:rsid w:val="0013183A"/>
    <w:rsid w:val="00131D15"/>
    <w:rsid w:val="00133BEE"/>
    <w:rsid w:val="00133F24"/>
    <w:rsid w:val="00134336"/>
    <w:rsid w:val="00134875"/>
    <w:rsid w:val="00134E0A"/>
    <w:rsid w:val="001359FC"/>
    <w:rsid w:val="00135C56"/>
    <w:rsid w:val="00136106"/>
    <w:rsid w:val="00136883"/>
    <w:rsid w:val="00136A88"/>
    <w:rsid w:val="00136FE1"/>
    <w:rsid w:val="001377DC"/>
    <w:rsid w:val="00137FE4"/>
    <w:rsid w:val="0014008A"/>
    <w:rsid w:val="001401C9"/>
    <w:rsid w:val="00140265"/>
    <w:rsid w:val="00140B1F"/>
    <w:rsid w:val="00140B6C"/>
    <w:rsid w:val="00140D07"/>
    <w:rsid w:val="00140F71"/>
    <w:rsid w:val="0014134A"/>
    <w:rsid w:val="00141512"/>
    <w:rsid w:val="00142B8B"/>
    <w:rsid w:val="00142BF7"/>
    <w:rsid w:val="00143477"/>
    <w:rsid w:val="001435CB"/>
    <w:rsid w:val="001437EA"/>
    <w:rsid w:val="00143AE7"/>
    <w:rsid w:val="001442EA"/>
    <w:rsid w:val="001446A4"/>
    <w:rsid w:val="00144B1E"/>
    <w:rsid w:val="0014520D"/>
    <w:rsid w:val="00145400"/>
    <w:rsid w:val="00145669"/>
    <w:rsid w:val="00145D59"/>
    <w:rsid w:val="00146262"/>
    <w:rsid w:val="00147270"/>
    <w:rsid w:val="00147B2E"/>
    <w:rsid w:val="00147F20"/>
    <w:rsid w:val="0015041A"/>
    <w:rsid w:val="00150B3C"/>
    <w:rsid w:val="00151B3F"/>
    <w:rsid w:val="00152CCC"/>
    <w:rsid w:val="00153437"/>
    <w:rsid w:val="001537AB"/>
    <w:rsid w:val="00153817"/>
    <w:rsid w:val="001539A0"/>
    <w:rsid w:val="00153A43"/>
    <w:rsid w:val="00154716"/>
    <w:rsid w:val="001547B6"/>
    <w:rsid w:val="00154CD1"/>
    <w:rsid w:val="00154ED7"/>
    <w:rsid w:val="00155A31"/>
    <w:rsid w:val="0015668D"/>
    <w:rsid w:val="00156D85"/>
    <w:rsid w:val="001570BB"/>
    <w:rsid w:val="0015718F"/>
    <w:rsid w:val="00157FC8"/>
    <w:rsid w:val="001612AF"/>
    <w:rsid w:val="00161745"/>
    <w:rsid w:val="00161C9C"/>
    <w:rsid w:val="00162813"/>
    <w:rsid w:val="001634DF"/>
    <w:rsid w:val="001644F7"/>
    <w:rsid w:val="001652FE"/>
    <w:rsid w:val="00165C2A"/>
    <w:rsid w:val="00166857"/>
    <w:rsid w:val="00166D70"/>
    <w:rsid w:val="00167B10"/>
    <w:rsid w:val="00167DF3"/>
    <w:rsid w:val="00170742"/>
    <w:rsid w:val="00170D79"/>
    <w:rsid w:val="00171538"/>
    <w:rsid w:val="001724C5"/>
    <w:rsid w:val="00173038"/>
    <w:rsid w:val="0017351F"/>
    <w:rsid w:val="00174174"/>
    <w:rsid w:val="0017451D"/>
    <w:rsid w:val="00174D81"/>
    <w:rsid w:val="0017637D"/>
    <w:rsid w:val="00176570"/>
    <w:rsid w:val="00176E09"/>
    <w:rsid w:val="001772CD"/>
    <w:rsid w:val="001778C9"/>
    <w:rsid w:val="00181326"/>
    <w:rsid w:val="001816F6"/>
    <w:rsid w:val="001821E5"/>
    <w:rsid w:val="00182B99"/>
    <w:rsid w:val="00183083"/>
    <w:rsid w:val="0018313F"/>
    <w:rsid w:val="00183AC7"/>
    <w:rsid w:val="0018448C"/>
    <w:rsid w:val="00184AC1"/>
    <w:rsid w:val="001851DC"/>
    <w:rsid w:val="001853FF"/>
    <w:rsid w:val="00185FC7"/>
    <w:rsid w:val="0018616C"/>
    <w:rsid w:val="00186B64"/>
    <w:rsid w:val="001873D1"/>
    <w:rsid w:val="00187B6F"/>
    <w:rsid w:val="00190073"/>
    <w:rsid w:val="00190777"/>
    <w:rsid w:val="001907B7"/>
    <w:rsid w:val="00190C60"/>
    <w:rsid w:val="00190EC8"/>
    <w:rsid w:val="00194A20"/>
    <w:rsid w:val="00194E0A"/>
    <w:rsid w:val="00194E4D"/>
    <w:rsid w:val="0019507F"/>
    <w:rsid w:val="001959AC"/>
    <w:rsid w:val="001964EE"/>
    <w:rsid w:val="001964FC"/>
    <w:rsid w:val="00196611"/>
    <w:rsid w:val="00196AA0"/>
    <w:rsid w:val="00197A90"/>
    <w:rsid w:val="00197E64"/>
    <w:rsid w:val="00197ED0"/>
    <w:rsid w:val="001A0FB2"/>
    <w:rsid w:val="001A1D59"/>
    <w:rsid w:val="001A2631"/>
    <w:rsid w:val="001A295D"/>
    <w:rsid w:val="001A33C8"/>
    <w:rsid w:val="001A3578"/>
    <w:rsid w:val="001A36E7"/>
    <w:rsid w:val="001A3D21"/>
    <w:rsid w:val="001A4176"/>
    <w:rsid w:val="001A4837"/>
    <w:rsid w:val="001A4D7C"/>
    <w:rsid w:val="001A4FD7"/>
    <w:rsid w:val="001A56CA"/>
    <w:rsid w:val="001A666C"/>
    <w:rsid w:val="001A6F91"/>
    <w:rsid w:val="001A7521"/>
    <w:rsid w:val="001A78A5"/>
    <w:rsid w:val="001A7EE2"/>
    <w:rsid w:val="001B02D4"/>
    <w:rsid w:val="001B06DC"/>
    <w:rsid w:val="001B0D8E"/>
    <w:rsid w:val="001B11F1"/>
    <w:rsid w:val="001B2416"/>
    <w:rsid w:val="001B2715"/>
    <w:rsid w:val="001B2A19"/>
    <w:rsid w:val="001B2AB0"/>
    <w:rsid w:val="001B2C11"/>
    <w:rsid w:val="001B39DD"/>
    <w:rsid w:val="001B3D76"/>
    <w:rsid w:val="001B3DFD"/>
    <w:rsid w:val="001B3EE0"/>
    <w:rsid w:val="001B3F89"/>
    <w:rsid w:val="001B44E4"/>
    <w:rsid w:val="001B4CBD"/>
    <w:rsid w:val="001B4F0B"/>
    <w:rsid w:val="001B5EBB"/>
    <w:rsid w:val="001B5F5D"/>
    <w:rsid w:val="001B6217"/>
    <w:rsid w:val="001B6289"/>
    <w:rsid w:val="001B661D"/>
    <w:rsid w:val="001B7FD6"/>
    <w:rsid w:val="001C0208"/>
    <w:rsid w:val="001C026C"/>
    <w:rsid w:val="001C079F"/>
    <w:rsid w:val="001C0B07"/>
    <w:rsid w:val="001C0CBE"/>
    <w:rsid w:val="001C0D3C"/>
    <w:rsid w:val="001C1B1B"/>
    <w:rsid w:val="001C1D26"/>
    <w:rsid w:val="001C21E4"/>
    <w:rsid w:val="001C2F1D"/>
    <w:rsid w:val="001C320C"/>
    <w:rsid w:val="001C37B3"/>
    <w:rsid w:val="001C4090"/>
    <w:rsid w:val="001C44F8"/>
    <w:rsid w:val="001C50DB"/>
    <w:rsid w:val="001C527D"/>
    <w:rsid w:val="001C5378"/>
    <w:rsid w:val="001C5F11"/>
    <w:rsid w:val="001C6685"/>
    <w:rsid w:val="001C6FFE"/>
    <w:rsid w:val="001C7E50"/>
    <w:rsid w:val="001D05DD"/>
    <w:rsid w:val="001D0712"/>
    <w:rsid w:val="001D0A78"/>
    <w:rsid w:val="001D18DE"/>
    <w:rsid w:val="001D1F67"/>
    <w:rsid w:val="001D21CB"/>
    <w:rsid w:val="001D2384"/>
    <w:rsid w:val="001D253D"/>
    <w:rsid w:val="001D2DA5"/>
    <w:rsid w:val="001D3D56"/>
    <w:rsid w:val="001D4066"/>
    <w:rsid w:val="001D44EC"/>
    <w:rsid w:val="001D4558"/>
    <w:rsid w:val="001D46E8"/>
    <w:rsid w:val="001D4A08"/>
    <w:rsid w:val="001D5D08"/>
    <w:rsid w:val="001D6207"/>
    <w:rsid w:val="001D69AD"/>
    <w:rsid w:val="001D6AB6"/>
    <w:rsid w:val="001D74BA"/>
    <w:rsid w:val="001D75B2"/>
    <w:rsid w:val="001D75EE"/>
    <w:rsid w:val="001D76E5"/>
    <w:rsid w:val="001D77D0"/>
    <w:rsid w:val="001D7AF0"/>
    <w:rsid w:val="001D7F73"/>
    <w:rsid w:val="001E0080"/>
    <w:rsid w:val="001E09AA"/>
    <w:rsid w:val="001E0F1B"/>
    <w:rsid w:val="001E1DC0"/>
    <w:rsid w:val="001E290A"/>
    <w:rsid w:val="001E32B4"/>
    <w:rsid w:val="001E35E5"/>
    <w:rsid w:val="001E376D"/>
    <w:rsid w:val="001E38F7"/>
    <w:rsid w:val="001E562C"/>
    <w:rsid w:val="001E5D5C"/>
    <w:rsid w:val="001E6287"/>
    <w:rsid w:val="001E6EDB"/>
    <w:rsid w:val="001E79E2"/>
    <w:rsid w:val="001F0804"/>
    <w:rsid w:val="001F1BDB"/>
    <w:rsid w:val="001F1BE2"/>
    <w:rsid w:val="001F1ED8"/>
    <w:rsid w:val="001F3246"/>
    <w:rsid w:val="001F32C1"/>
    <w:rsid w:val="001F3B39"/>
    <w:rsid w:val="001F442C"/>
    <w:rsid w:val="001F472C"/>
    <w:rsid w:val="001F4757"/>
    <w:rsid w:val="001F547B"/>
    <w:rsid w:val="001F6AD7"/>
    <w:rsid w:val="001F6EA7"/>
    <w:rsid w:val="001F6EAA"/>
    <w:rsid w:val="001F79D2"/>
    <w:rsid w:val="001F7FC2"/>
    <w:rsid w:val="002001C3"/>
    <w:rsid w:val="002003A9"/>
    <w:rsid w:val="002003AD"/>
    <w:rsid w:val="0020053F"/>
    <w:rsid w:val="002005F5"/>
    <w:rsid w:val="00201197"/>
    <w:rsid w:val="0020182C"/>
    <w:rsid w:val="0020182D"/>
    <w:rsid w:val="00201AF7"/>
    <w:rsid w:val="00201F01"/>
    <w:rsid w:val="00203CE9"/>
    <w:rsid w:val="002043C7"/>
    <w:rsid w:val="00204AA2"/>
    <w:rsid w:val="00204BB0"/>
    <w:rsid w:val="00204D93"/>
    <w:rsid w:val="002055C1"/>
    <w:rsid w:val="00205AD6"/>
    <w:rsid w:val="0020625B"/>
    <w:rsid w:val="002068B7"/>
    <w:rsid w:val="0020720A"/>
    <w:rsid w:val="0020741F"/>
    <w:rsid w:val="00207C98"/>
    <w:rsid w:val="0021167D"/>
    <w:rsid w:val="002117F8"/>
    <w:rsid w:val="00211AD9"/>
    <w:rsid w:val="00211CCD"/>
    <w:rsid w:val="00212860"/>
    <w:rsid w:val="00212A00"/>
    <w:rsid w:val="002135DB"/>
    <w:rsid w:val="00213DC5"/>
    <w:rsid w:val="00213F70"/>
    <w:rsid w:val="00213FF9"/>
    <w:rsid w:val="002142FB"/>
    <w:rsid w:val="00214EDF"/>
    <w:rsid w:val="00215196"/>
    <w:rsid w:val="00215A0D"/>
    <w:rsid w:val="00216A3A"/>
    <w:rsid w:val="002171B1"/>
    <w:rsid w:val="002175A9"/>
    <w:rsid w:val="002176EF"/>
    <w:rsid w:val="00217D25"/>
    <w:rsid w:val="0022033D"/>
    <w:rsid w:val="00220C0D"/>
    <w:rsid w:val="00220E5D"/>
    <w:rsid w:val="002211DF"/>
    <w:rsid w:val="0022137F"/>
    <w:rsid w:val="00221890"/>
    <w:rsid w:val="00221DF0"/>
    <w:rsid w:val="00221EFB"/>
    <w:rsid w:val="002230D8"/>
    <w:rsid w:val="0022364C"/>
    <w:rsid w:val="00223DB1"/>
    <w:rsid w:val="00224509"/>
    <w:rsid w:val="0022456B"/>
    <w:rsid w:val="00224659"/>
    <w:rsid w:val="002249AB"/>
    <w:rsid w:val="002251DF"/>
    <w:rsid w:val="002252D9"/>
    <w:rsid w:val="0022676D"/>
    <w:rsid w:val="00226B2F"/>
    <w:rsid w:val="0022733F"/>
    <w:rsid w:val="00227BC4"/>
    <w:rsid w:val="00227F85"/>
    <w:rsid w:val="00230212"/>
    <w:rsid w:val="002307CF"/>
    <w:rsid w:val="00230BE7"/>
    <w:rsid w:val="00231686"/>
    <w:rsid w:val="002316D3"/>
    <w:rsid w:val="0023178C"/>
    <w:rsid w:val="0023185C"/>
    <w:rsid w:val="00231E99"/>
    <w:rsid w:val="002329FC"/>
    <w:rsid w:val="00232B30"/>
    <w:rsid w:val="002334AF"/>
    <w:rsid w:val="00235475"/>
    <w:rsid w:val="00235BD1"/>
    <w:rsid w:val="00236140"/>
    <w:rsid w:val="00236F99"/>
    <w:rsid w:val="00237395"/>
    <w:rsid w:val="0023742D"/>
    <w:rsid w:val="002376EE"/>
    <w:rsid w:val="0024038E"/>
    <w:rsid w:val="00240B0F"/>
    <w:rsid w:val="00240F4B"/>
    <w:rsid w:val="00241183"/>
    <w:rsid w:val="00241447"/>
    <w:rsid w:val="00242261"/>
    <w:rsid w:val="00242673"/>
    <w:rsid w:val="00242B13"/>
    <w:rsid w:val="0024316D"/>
    <w:rsid w:val="0024336D"/>
    <w:rsid w:val="00243464"/>
    <w:rsid w:val="002434B8"/>
    <w:rsid w:val="002437C2"/>
    <w:rsid w:val="0024392D"/>
    <w:rsid w:val="00243FFE"/>
    <w:rsid w:val="002441BB"/>
    <w:rsid w:val="00244612"/>
    <w:rsid w:val="00244C84"/>
    <w:rsid w:val="00244EED"/>
    <w:rsid w:val="00244F3C"/>
    <w:rsid w:val="002456F5"/>
    <w:rsid w:val="00245DB3"/>
    <w:rsid w:val="002466E2"/>
    <w:rsid w:val="0024687E"/>
    <w:rsid w:val="0024706D"/>
    <w:rsid w:val="00247613"/>
    <w:rsid w:val="00247BC8"/>
    <w:rsid w:val="00247C48"/>
    <w:rsid w:val="002501E5"/>
    <w:rsid w:val="002505CB"/>
    <w:rsid w:val="00250B17"/>
    <w:rsid w:val="00250BCA"/>
    <w:rsid w:val="00250BDB"/>
    <w:rsid w:val="00251569"/>
    <w:rsid w:val="0025157E"/>
    <w:rsid w:val="00251A87"/>
    <w:rsid w:val="00251C1A"/>
    <w:rsid w:val="00252959"/>
    <w:rsid w:val="00252E4B"/>
    <w:rsid w:val="00252EAE"/>
    <w:rsid w:val="00252FB2"/>
    <w:rsid w:val="002539DE"/>
    <w:rsid w:val="00253B74"/>
    <w:rsid w:val="00253E8F"/>
    <w:rsid w:val="00254395"/>
    <w:rsid w:val="0025480E"/>
    <w:rsid w:val="0025488B"/>
    <w:rsid w:val="002549ED"/>
    <w:rsid w:val="002552E8"/>
    <w:rsid w:val="0025664E"/>
    <w:rsid w:val="002569D5"/>
    <w:rsid w:val="00256E09"/>
    <w:rsid w:val="00257095"/>
    <w:rsid w:val="00257A12"/>
    <w:rsid w:val="00261139"/>
    <w:rsid w:val="00261D0D"/>
    <w:rsid w:val="0026212A"/>
    <w:rsid w:val="00262958"/>
    <w:rsid w:val="00263FBB"/>
    <w:rsid w:val="00264315"/>
    <w:rsid w:val="002643BE"/>
    <w:rsid w:val="00264DF0"/>
    <w:rsid w:val="00265C14"/>
    <w:rsid w:val="00266000"/>
    <w:rsid w:val="00266D44"/>
    <w:rsid w:val="0026720A"/>
    <w:rsid w:val="0026722A"/>
    <w:rsid w:val="00267AA0"/>
    <w:rsid w:val="00267C8A"/>
    <w:rsid w:val="00267EBE"/>
    <w:rsid w:val="00267F03"/>
    <w:rsid w:val="002704BA"/>
    <w:rsid w:val="002708CE"/>
    <w:rsid w:val="00270DF2"/>
    <w:rsid w:val="00270F24"/>
    <w:rsid w:val="002718D2"/>
    <w:rsid w:val="00272E1A"/>
    <w:rsid w:val="002733D3"/>
    <w:rsid w:val="00273D82"/>
    <w:rsid w:val="00274577"/>
    <w:rsid w:val="002746D7"/>
    <w:rsid w:val="002747A8"/>
    <w:rsid w:val="00274F21"/>
    <w:rsid w:val="002755C7"/>
    <w:rsid w:val="0027576A"/>
    <w:rsid w:val="00275953"/>
    <w:rsid w:val="00275A12"/>
    <w:rsid w:val="00275FB0"/>
    <w:rsid w:val="002764E4"/>
    <w:rsid w:val="00277594"/>
    <w:rsid w:val="0028038A"/>
    <w:rsid w:val="00280981"/>
    <w:rsid w:val="00281123"/>
    <w:rsid w:val="00281546"/>
    <w:rsid w:val="0028157E"/>
    <w:rsid w:val="00281874"/>
    <w:rsid w:val="00281D2A"/>
    <w:rsid w:val="00282171"/>
    <w:rsid w:val="00282BC4"/>
    <w:rsid w:val="002830B6"/>
    <w:rsid w:val="00283B00"/>
    <w:rsid w:val="002856C7"/>
    <w:rsid w:val="00285C36"/>
    <w:rsid w:val="0028680D"/>
    <w:rsid w:val="002869E6"/>
    <w:rsid w:val="002872DE"/>
    <w:rsid w:val="00287413"/>
    <w:rsid w:val="002876C0"/>
    <w:rsid w:val="002900CC"/>
    <w:rsid w:val="00290A21"/>
    <w:rsid w:val="00290B85"/>
    <w:rsid w:val="00290BDC"/>
    <w:rsid w:val="00290DB2"/>
    <w:rsid w:val="00290EC9"/>
    <w:rsid w:val="00291688"/>
    <w:rsid w:val="00291A2E"/>
    <w:rsid w:val="00292294"/>
    <w:rsid w:val="0029231F"/>
    <w:rsid w:val="002929D7"/>
    <w:rsid w:val="00292BBB"/>
    <w:rsid w:val="00292D27"/>
    <w:rsid w:val="00293171"/>
    <w:rsid w:val="00293913"/>
    <w:rsid w:val="002946B4"/>
    <w:rsid w:val="00295253"/>
    <w:rsid w:val="0029597B"/>
    <w:rsid w:val="00295A40"/>
    <w:rsid w:val="002964AF"/>
    <w:rsid w:val="00296F1E"/>
    <w:rsid w:val="00296F3B"/>
    <w:rsid w:val="002970F8"/>
    <w:rsid w:val="0029761C"/>
    <w:rsid w:val="00297DB0"/>
    <w:rsid w:val="002A13F1"/>
    <w:rsid w:val="002A19C5"/>
    <w:rsid w:val="002A229B"/>
    <w:rsid w:val="002A3263"/>
    <w:rsid w:val="002A4684"/>
    <w:rsid w:val="002A4D57"/>
    <w:rsid w:val="002A5CDA"/>
    <w:rsid w:val="002A6A3E"/>
    <w:rsid w:val="002A73B0"/>
    <w:rsid w:val="002A7FA9"/>
    <w:rsid w:val="002B0165"/>
    <w:rsid w:val="002B050C"/>
    <w:rsid w:val="002B0DF4"/>
    <w:rsid w:val="002B17A6"/>
    <w:rsid w:val="002B1937"/>
    <w:rsid w:val="002B19DB"/>
    <w:rsid w:val="002B267D"/>
    <w:rsid w:val="002B319B"/>
    <w:rsid w:val="002B3869"/>
    <w:rsid w:val="002B39EA"/>
    <w:rsid w:val="002B3FBA"/>
    <w:rsid w:val="002B45FB"/>
    <w:rsid w:val="002B4689"/>
    <w:rsid w:val="002B46BB"/>
    <w:rsid w:val="002B4D76"/>
    <w:rsid w:val="002B4F1D"/>
    <w:rsid w:val="002B52F4"/>
    <w:rsid w:val="002B5CEA"/>
    <w:rsid w:val="002B60AD"/>
    <w:rsid w:val="002B628C"/>
    <w:rsid w:val="002B62A0"/>
    <w:rsid w:val="002B63B3"/>
    <w:rsid w:val="002B6D68"/>
    <w:rsid w:val="002B7E40"/>
    <w:rsid w:val="002C01DC"/>
    <w:rsid w:val="002C023A"/>
    <w:rsid w:val="002C0823"/>
    <w:rsid w:val="002C0A7C"/>
    <w:rsid w:val="002C0B41"/>
    <w:rsid w:val="002C1463"/>
    <w:rsid w:val="002C2EB2"/>
    <w:rsid w:val="002C2FA0"/>
    <w:rsid w:val="002C31DA"/>
    <w:rsid w:val="002C331B"/>
    <w:rsid w:val="002C3412"/>
    <w:rsid w:val="002C3E06"/>
    <w:rsid w:val="002C3ED9"/>
    <w:rsid w:val="002C49D8"/>
    <w:rsid w:val="002C4AE6"/>
    <w:rsid w:val="002C5893"/>
    <w:rsid w:val="002C5D10"/>
    <w:rsid w:val="002C6094"/>
    <w:rsid w:val="002C6A12"/>
    <w:rsid w:val="002C6E32"/>
    <w:rsid w:val="002C78D6"/>
    <w:rsid w:val="002C79E0"/>
    <w:rsid w:val="002C7B00"/>
    <w:rsid w:val="002C7D10"/>
    <w:rsid w:val="002D0052"/>
    <w:rsid w:val="002D0F92"/>
    <w:rsid w:val="002D1051"/>
    <w:rsid w:val="002D1521"/>
    <w:rsid w:val="002D2D6B"/>
    <w:rsid w:val="002D3685"/>
    <w:rsid w:val="002D3805"/>
    <w:rsid w:val="002D39B8"/>
    <w:rsid w:val="002D4022"/>
    <w:rsid w:val="002D4323"/>
    <w:rsid w:val="002D4F81"/>
    <w:rsid w:val="002D516C"/>
    <w:rsid w:val="002D7575"/>
    <w:rsid w:val="002D79CC"/>
    <w:rsid w:val="002D7D2F"/>
    <w:rsid w:val="002E038C"/>
    <w:rsid w:val="002E063C"/>
    <w:rsid w:val="002E0F43"/>
    <w:rsid w:val="002E1096"/>
    <w:rsid w:val="002E1C5C"/>
    <w:rsid w:val="002E2BD3"/>
    <w:rsid w:val="002E308B"/>
    <w:rsid w:val="002E33AA"/>
    <w:rsid w:val="002E3456"/>
    <w:rsid w:val="002E363A"/>
    <w:rsid w:val="002E39F1"/>
    <w:rsid w:val="002E45BB"/>
    <w:rsid w:val="002E45D1"/>
    <w:rsid w:val="002E5210"/>
    <w:rsid w:val="002E5391"/>
    <w:rsid w:val="002E5652"/>
    <w:rsid w:val="002E5BCD"/>
    <w:rsid w:val="002E5DBB"/>
    <w:rsid w:val="002E5FAF"/>
    <w:rsid w:val="002E6921"/>
    <w:rsid w:val="002E6EA8"/>
    <w:rsid w:val="002E71ED"/>
    <w:rsid w:val="002F037E"/>
    <w:rsid w:val="002F14CA"/>
    <w:rsid w:val="002F167C"/>
    <w:rsid w:val="002F182C"/>
    <w:rsid w:val="002F1A22"/>
    <w:rsid w:val="002F1E43"/>
    <w:rsid w:val="002F1E9A"/>
    <w:rsid w:val="002F26E7"/>
    <w:rsid w:val="002F2CC5"/>
    <w:rsid w:val="002F2D6F"/>
    <w:rsid w:val="002F32AA"/>
    <w:rsid w:val="002F3488"/>
    <w:rsid w:val="002F3E35"/>
    <w:rsid w:val="002F4F05"/>
    <w:rsid w:val="002F50D5"/>
    <w:rsid w:val="002F5BE2"/>
    <w:rsid w:val="002F5F82"/>
    <w:rsid w:val="002F6520"/>
    <w:rsid w:val="002F6DE6"/>
    <w:rsid w:val="002F72F6"/>
    <w:rsid w:val="002F753A"/>
    <w:rsid w:val="002F7581"/>
    <w:rsid w:val="00300828"/>
    <w:rsid w:val="00300B4F"/>
    <w:rsid w:val="00300E56"/>
    <w:rsid w:val="00301BF4"/>
    <w:rsid w:val="003023C1"/>
    <w:rsid w:val="00302531"/>
    <w:rsid w:val="00302889"/>
    <w:rsid w:val="00302B4F"/>
    <w:rsid w:val="003033D2"/>
    <w:rsid w:val="00303ED9"/>
    <w:rsid w:val="0030405A"/>
    <w:rsid w:val="0030408D"/>
    <w:rsid w:val="003047E4"/>
    <w:rsid w:val="003052BA"/>
    <w:rsid w:val="00305452"/>
    <w:rsid w:val="0030568F"/>
    <w:rsid w:val="00305E9B"/>
    <w:rsid w:val="003061A4"/>
    <w:rsid w:val="00306375"/>
    <w:rsid w:val="00306A11"/>
    <w:rsid w:val="00306FFA"/>
    <w:rsid w:val="003075C9"/>
    <w:rsid w:val="00307611"/>
    <w:rsid w:val="00307ABE"/>
    <w:rsid w:val="00307DF9"/>
    <w:rsid w:val="00310925"/>
    <w:rsid w:val="00311164"/>
    <w:rsid w:val="00311C97"/>
    <w:rsid w:val="00312708"/>
    <w:rsid w:val="0031277C"/>
    <w:rsid w:val="00312AB2"/>
    <w:rsid w:val="00312B99"/>
    <w:rsid w:val="00313423"/>
    <w:rsid w:val="00313585"/>
    <w:rsid w:val="003137C7"/>
    <w:rsid w:val="00314485"/>
    <w:rsid w:val="003146E4"/>
    <w:rsid w:val="00314E0A"/>
    <w:rsid w:val="003159BB"/>
    <w:rsid w:val="00315C31"/>
    <w:rsid w:val="003160FA"/>
    <w:rsid w:val="0031617F"/>
    <w:rsid w:val="00316A0E"/>
    <w:rsid w:val="00316F05"/>
    <w:rsid w:val="00317254"/>
    <w:rsid w:val="00317838"/>
    <w:rsid w:val="003200C2"/>
    <w:rsid w:val="00320691"/>
    <w:rsid w:val="0032069B"/>
    <w:rsid w:val="003208CA"/>
    <w:rsid w:val="00320915"/>
    <w:rsid w:val="00320A66"/>
    <w:rsid w:val="00320BC8"/>
    <w:rsid w:val="0032109C"/>
    <w:rsid w:val="003211E7"/>
    <w:rsid w:val="003218B2"/>
    <w:rsid w:val="003219E4"/>
    <w:rsid w:val="00321B55"/>
    <w:rsid w:val="00322B9A"/>
    <w:rsid w:val="003235A6"/>
    <w:rsid w:val="00323653"/>
    <w:rsid w:val="00323B35"/>
    <w:rsid w:val="0032404F"/>
    <w:rsid w:val="003245C8"/>
    <w:rsid w:val="00325409"/>
    <w:rsid w:val="00326FAB"/>
    <w:rsid w:val="00327118"/>
    <w:rsid w:val="0032718A"/>
    <w:rsid w:val="00327B53"/>
    <w:rsid w:val="0033017D"/>
    <w:rsid w:val="00330FA2"/>
    <w:rsid w:val="00331259"/>
    <w:rsid w:val="003313D4"/>
    <w:rsid w:val="0033147E"/>
    <w:rsid w:val="00331EDC"/>
    <w:rsid w:val="003324E2"/>
    <w:rsid w:val="00333EB3"/>
    <w:rsid w:val="00334EAC"/>
    <w:rsid w:val="0033558E"/>
    <w:rsid w:val="00335968"/>
    <w:rsid w:val="00335EDE"/>
    <w:rsid w:val="003360C5"/>
    <w:rsid w:val="00336351"/>
    <w:rsid w:val="003367DE"/>
    <w:rsid w:val="00336833"/>
    <w:rsid w:val="0033684B"/>
    <w:rsid w:val="00336A1B"/>
    <w:rsid w:val="0033774F"/>
    <w:rsid w:val="003377D1"/>
    <w:rsid w:val="00337CA1"/>
    <w:rsid w:val="003404D8"/>
    <w:rsid w:val="00341F4D"/>
    <w:rsid w:val="00342E96"/>
    <w:rsid w:val="00342FD2"/>
    <w:rsid w:val="00343BE3"/>
    <w:rsid w:val="00344453"/>
    <w:rsid w:val="0034606D"/>
    <w:rsid w:val="003466C7"/>
    <w:rsid w:val="00346EB0"/>
    <w:rsid w:val="003479E3"/>
    <w:rsid w:val="00347F94"/>
    <w:rsid w:val="003500B6"/>
    <w:rsid w:val="00350730"/>
    <w:rsid w:val="00350970"/>
    <w:rsid w:val="00350C2E"/>
    <w:rsid w:val="00350F85"/>
    <w:rsid w:val="00352321"/>
    <w:rsid w:val="0035285F"/>
    <w:rsid w:val="00352C42"/>
    <w:rsid w:val="003531A3"/>
    <w:rsid w:val="00353465"/>
    <w:rsid w:val="00353839"/>
    <w:rsid w:val="003539E8"/>
    <w:rsid w:val="0035417F"/>
    <w:rsid w:val="0035433D"/>
    <w:rsid w:val="003544EC"/>
    <w:rsid w:val="0035459B"/>
    <w:rsid w:val="00355B8A"/>
    <w:rsid w:val="003569D7"/>
    <w:rsid w:val="00356B9E"/>
    <w:rsid w:val="003572AF"/>
    <w:rsid w:val="00357996"/>
    <w:rsid w:val="003602CF"/>
    <w:rsid w:val="00360CC3"/>
    <w:rsid w:val="003611D4"/>
    <w:rsid w:val="003611F7"/>
    <w:rsid w:val="00361583"/>
    <w:rsid w:val="00361C07"/>
    <w:rsid w:val="00361D28"/>
    <w:rsid w:val="00361D9D"/>
    <w:rsid w:val="0036235E"/>
    <w:rsid w:val="003625AC"/>
    <w:rsid w:val="00362B47"/>
    <w:rsid w:val="00362DAC"/>
    <w:rsid w:val="00363E33"/>
    <w:rsid w:val="00364038"/>
    <w:rsid w:val="003648F8"/>
    <w:rsid w:val="00364BBF"/>
    <w:rsid w:val="00364CE2"/>
    <w:rsid w:val="003656F5"/>
    <w:rsid w:val="0036578E"/>
    <w:rsid w:val="0036686B"/>
    <w:rsid w:val="00367545"/>
    <w:rsid w:val="003676DB"/>
    <w:rsid w:val="00367A07"/>
    <w:rsid w:val="00367DF1"/>
    <w:rsid w:val="003707E5"/>
    <w:rsid w:val="003713A3"/>
    <w:rsid w:val="0037183F"/>
    <w:rsid w:val="003721E8"/>
    <w:rsid w:val="003722F4"/>
    <w:rsid w:val="0037284E"/>
    <w:rsid w:val="003728EE"/>
    <w:rsid w:val="00372939"/>
    <w:rsid w:val="003737F2"/>
    <w:rsid w:val="0037519A"/>
    <w:rsid w:val="003753DC"/>
    <w:rsid w:val="00375576"/>
    <w:rsid w:val="00375D5E"/>
    <w:rsid w:val="00377C32"/>
    <w:rsid w:val="00377F17"/>
    <w:rsid w:val="003806D2"/>
    <w:rsid w:val="0038103A"/>
    <w:rsid w:val="00381975"/>
    <w:rsid w:val="00382192"/>
    <w:rsid w:val="003823AD"/>
    <w:rsid w:val="00382CBA"/>
    <w:rsid w:val="00383435"/>
    <w:rsid w:val="00383910"/>
    <w:rsid w:val="00384A6A"/>
    <w:rsid w:val="00384BF0"/>
    <w:rsid w:val="003854B0"/>
    <w:rsid w:val="00385677"/>
    <w:rsid w:val="003862ED"/>
    <w:rsid w:val="00386305"/>
    <w:rsid w:val="0038645B"/>
    <w:rsid w:val="00386806"/>
    <w:rsid w:val="00386896"/>
    <w:rsid w:val="00386976"/>
    <w:rsid w:val="00386C28"/>
    <w:rsid w:val="00386F54"/>
    <w:rsid w:val="003877F0"/>
    <w:rsid w:val="00387FA7"/>
    <w:rsid w:val="003901E3"/>
    <w:rsid w:val="0039036D"/>
    <w:rsid w:val="00390407"/>
    <w:rsid w:val="00390488"/>
    <w:rsid w:val="00390B3D"/>
    <w:rsid w:val="00390CFE"/>
    <w:rsid w:val="00391330"/>
    <w:rsid w:val="003915BE"/>
    <w:rsid w:val="003918EB"/>
    <w:rsid w:val="003923BA"/>
    <w:rsid w:val="00392D12"/>
    <w:rsid w:val="00392DF0"/>
    <w:rsid w:val="0039348A"/>
    <w:rsid w:val="003945D9"/>
    <w:rsid w:val="00394636"/>
    <w:rsid w:val="00394C3A"/>
    <w:rsid w:val="00395235"/>
    <w:rsid w:val="003956D4"/>
    <w:rsid w:val="00397298"/>
    <w:rsid w:val="00397B13"/>
    <w:rsid w:val="003A00CA"/>
    <w:rsid w:val="003A031C"/>
    <w:rsid w:val="003A07EF"/>
    <w:rsid w:val="003A0C28"/>
    <w:rsid w:val="003A0D5D"/>
    <w:rsid w:val="003A2843"/>
    <w:rsid w:val="003A2889"/>
    <w:rsid w:val="003A2893"/>
    <w:rsid w:val="003A30F1"/>
    <w:rsid w:val="003A3293"/>
    <w:rsid w:val="003A452C"/>
    <w:rsid w:val="003A49A7"/>
    <w:rsid w:val="003A5068"/>
    <w:rsid w:val="003A5CC0"/>
    <w:rsid w:val="003A677C"/>
    <w:rsid w:val="003A680B"/>
    <w:rsid w:val="003A6DB7"/>
    <w:rsid w:val="003A7501"/>
    <w:rsid w:val="003B00C8"/>
    <w:rsid w:val="003B11BE"/>
    <w:rsid w:val="003B12D1"/>
    <w:rsid w:val="003B1C1C"/>
    <w:rsid w:val="003B1F42"/>
    <w:rsid w:val="003B1FF6"/>
    <w:rsid w:val="003B289F"/>
    <w:rsid w:val="003B3405"/>
    <w:rsid w:val="003B341E"/>
    <w:rsid w:val="003B3A4F"/>
    <w:rsid w:val="003B3E8E"/>
    <w:rsid w:val="003B4DD5"/>
    <w:rsid w:val="003B4F5E"/>
    <w:rsid w:val="003B5ECB"/>
    <w:rsid w:val="003B6176"/>
    <w:rsid w:val="003B62C2"/>
    <w:rsid w:val="003B6580"/>
    <w:rsid w:val="003B695E"/>
    <w:rsid w:val="003B6F5F"/>
    <w:rsid w:val="003B75BE"/>
    <w:rsid w:val="003B7D01"/>
    <w:rsid w:val="003C0005"/>
    <w:rsid w:val="003C08F1"/>
    <w:rsid w:val="003C0942"/>
    <w:rsid w:val="003C0EEE"/>
    <w:rsid w:val="003C1593"/>
    <w:rsid w:val="003C195C"/>
    <w:rsid w:val="003C2B77"/>
    <w:rsid w:val="003C2D8E"/>
    <w:rsid w:val="003C3C73"/>
    <w:rsid w:val="003C3F83"/>
    <w:rsid w:val="003C428D"/>
    <w:rsid w:val="003C43E2"/>
    <w:rsid w:val="003C642D"/>
    <w:rsid w:val="003C7B57"/>
    <w:rsid w:val="003C7CA8"/>
    <w:rsid w:val="003D073F"/>
    <w:rsid w:val="003D14ED"/>
    <w:rsid w:val="003D14FF"/>
    <w:rsid w:val="003D1D65"/>
    <w:rsid w:val="003D1E5B"/>
    <w:rsid w:val="003D418D"/>
    <w:rsid w:val="003D476B"/>
    <w:rsid w:val="003D487B"/>
    <w:rsid w:val="003D4934"/>
    <w:rsid w:val="003D49A4"/>
    <w:rsid w:val="003D53D0"/>
    <w:rsid w:val="003D5AB2"/>
    <w:rsid w:val="003D6115"/>
    <w:rsid w:val="003D62F9"/>
    <w:rsid w:val="003D68D3"/>
    <w:rsid w:val="003D70AC"/>
    <w:rsid w:val="003E0424"/>
    <w:rsid w:val="003E0BC2"/>
    <w:rsid w:val="003E0E57"/>
    <w:rsid w:val="003E1130"/>
    <w:rsid w:val="003E1E99"/>
    <w:rsid w:val="003E1EAC"/>
    <w:rsid w:val="003E2857"/>
    <w:rsid w:val="003E286C"/>
    <w:rsid w:val="003E2B52"/>
    <w:rsid w:val="003E350A"/>
    <w:rsid w:val="003E356E"/>
    <w:rsid w:val="003E38CB"/>
    <w:rsid w:val="003E3A5F"/>
    <w:rsid w:val="003E4457"/>
    <w:rsid w:val="003E4C1C"/>
    <w:rsid w:val="003E4F1C"/>
    <w:rsid w:val="003E52D8"/>
    <w:rsid w:val="003E5E5C"/>
    <w:rsid w:val="003E66BE"/>
    <w:rsid w:val="003E6FAD"/>
    <w:rsid w:val="003F030F"/>
    <w:rsid w:val="003F0B73"/>
    <w:rsid w:val="003F1792"/>
    <w:rsid w:val="003F1CF8"/>
    <w:rsid w:val="003F3BAA"/>
    <w:rsid w:val="003F4297"/>
    <w:rsid w:val="003F47E7"/>
    <w:rsid w:val="003F49CE"/>
    <w:rsid w:val="003F53A5"/>
    <w:rsid w:val="003F5945"/>
    <w:rsid w:val="003F5A97"/>
    <w:rsid w:val="003F5DFE"/>
    <w:rsid w:val="003F5F36"/>
    <w:rsid w:val="003F6119"/>
    <w:rsid w:val="003F68E1"/>
    <w:rsid w:val="004001FA"/>
    <w:rsid w:val="00400A47"/>
    <w:rsid w:val="0040280A"/>
    <w:rsid w:val="0040375B"/>
    <w:rsid w:val="00403A3E"/>
    <w:rsid w:val="00403BFB"/>
    <w:rsid w:val="00404249"/>
    <w:rsid w:val="00404369"/>
    <w:rsid w:val="0040457D"/>
    <w:rsid w:val="00404C64"/>
    <w:rsid w:val="00404ED0"/>
    <w:rsid w:val="00404F14"/>
    <w:rsid w:val="004052E2"/>
    <w:rsid w:val="004058DD"/>
    <w:rsid w:val="00405E56"/>
    <w:rsid w:val="004060DA"/>
    <w:rsid w:val="00406FEA"/>
    <w:rsid w:val="00407717"/>
    <w:rsid w:val="00407FE4"/>
    <w:rsid w:val="00410C80"/>
    <w:rsid w:val="004112A9"/>
    <w:rsid w:val="004117B4"/>
    <w:rsid w:val="004118FA"/>
    <w:rsid w:val="00411A32"/>
    <w:rsid w:val="00411AE7"/>
    <w:rsid w:val="004121FE"/>
    <w:rsid w:val="0041264E"/>
    <w:rsid w:val="00412943"/>
    <w:rsid w:val="00412E0F"/>
    <w:rsid w:val="00413440"/>
    <w:rsid w:val="00413D22"/>
    <w:rsid w:val="00413DE1"/>
    <w:rsid w:val="00413F4D"/>
    <w:rsid w:val="0041538D"/>
    <w:rsid w:val="00415627"/>
    <w:rsid w:val="00415C49"/>
    <w:rsid w:val="00416235"/>
    <w:rsid w:val="0041627E"/>
    <w:rsid w:val="0041648D"/>
    <w:rsid w:val="00416EB3"/>
    <w:rsid w:val="00417B7A"/>
    <w:rsid w:val="00417E8B"/>
    <w:rsid w:val="00417FC2"/>
    <w:rsid w:val="0042022A"/>
    <w:rsid w:val="0042022C"/>
    <w:rsid w:val="004202C6"/>
    <w:rsid w:val="00420439"/>
    <w:rsid w:val="004204B0"/>
    <w:rsid w:val="00420893"/>
    <w:rsid w:val="004213E4"/>
    <w:rsid w:val="00421972"/>
    <w:rsid w:val="004223B8"/>
    <w:rsid w:val="004223CF"/>
    <w:rsid w:val="00422F50"/>
    <w:rsid w:val="00423AD4"/>
    <w:rsid w:val="00423BB5"/>
    <w:rsid w:val="00424848"/>
    <w:rsid w:val="00424BD8"/>
    <w:rsid w:val="00425E44"/>
    <w:rsid w:val="0042672D"/>
    <w:rsid w:val="00427560"/>
    <w:rsid w:val="0042758F"/>
    <w:rsid w:val="004279EA"/>
    <w:rsid w:val="00427BFE"/>
    <w:rsid w:val="00430194"/>
    <w:rsid w:val="00431A83"/>
    <w:rsid w:val="00432640"/>
    <w:rsid w:val="004326BB"/>
    <w:rsid w:val="0043290B"/>
    <w:rsid w:val="00432A89"/>
    <w:rsid w:val="004338AB"/>
    <w:rsid w:val="004341B7"/>
    <w:rsid w:val="0043438B"/>
    <w:rsid w:val="004343BE"/>
    <w:rsid w:val="00434410"/>
    <w:rsid w:val="00434A1A"/>
    <w:rsid w:val="00434A4B"/>
    <w:rsid w:val="00435398"/>
    <w:rsid w:val="004357B8"/>
    <w:rsid w:val="00435A60"/>
    <w:rsid w:val="00436239"/>
    <w:rsid w:val="004366F1"/>
    <w:rsid w:val="00437FBF"/>
    <w:rsid w:val="004404CA"/>
    <w:rsid w:val="00440985"/>
    <w:rsid w:val="004412EA"/>
    <w:rsid w:val="004419C9"/>
    <w:rsid w:val="00441F68"/>
    <w:rsid w:val="0044333E"/>
    <w:rsid w:val="00444612"/>
    <w:rsid w:val="0044492F"/>
    <w:rsid w:val="00444A75"/>
    <w:rsid w:val="00444B1D"/>
    <w:rsid w:val="00445333"/>
    <w:rsid w:val="00445EEE"/>
    <w:rsid w:val="00445F96"/>
    <w:rsid w:val="00446C18"/>
    <w:rsid w:val="004479F7"/>
    <w:rsid w:val="00447B3C"/>
    <w:rsid w:val="0045044F"/>
    <w:rsid w:val="00450718"/>
    <w:rsid w:val="00450966"/>
    <w:rsid w:val="0045098C"/>
    <w:rsid w:val="00450D9B"/>
    <w:rsid w:val="00451106"/>
    <w:rsid w:val="004512BE"/>
    <w:rsid w:val="00451C72"/>
    <w:rsid w:val="00453114"/>
    <w:rsid w:val="0045325D"/>
    <w:rsid w:val="00453599"/>
    <w:rsid w:val="0045378E"/>
    <w:rsid w:val="00453DA0"/>
    <w:rsid w:val="0045432D"/>
    <w:rsid w:val="00454C3C"/>
    <w:rsid w:val="004552D1"/>
    <w:rsid w:val="0045570C"/>
    <w:rsid w:val="004558C7"/>
    <w:rsid w:val="00455C34"/>
    <w:rsid w:val="00456A8B"/>
    <w:rsid w:val="00456E6A"/>
    <w:rsid w:val="00457406"/>
    <w:rsid w:val="004577D3"/>
    <w:rsid w:val="00460CC5"/>
    <w:rsid w:val="00460E1C"/>
    <w:rsid w:val="004615D7"/>
    <w:rsid w:val="004616CA"/>
    <w:rsid w:val="00461C95"/>
    <w:rsid w:val="00462761"/>
    <w:rsid w:val="00462A35"/>
    <w:rsid w:val="00462D52"/>
    <w:rsid w:val="00463068"/>
    <w:rsid w:val="00463141"/>
    <w:rsid w:val="004635BF"/>
    <w:rsid w:val="00463DEB"/>
    <w:rsid w:val="004645E0"/>
    <w:rsid w:val="00464651"/>
    <w:rsid w:val="00464B39"/>
    <w:rsid w:val="00465CB0"/>
    <w:rsid w:val="0046723C"/>
    <w:rsid w:val="00470371"/>
    <w:rsid w:val="004711F2"/>
    <w:rsid w:val="00471636"/>
    <w:rsid w:val="00471B55"/>
    <w:rsid w:val="00473233"/>
    <w:rsid w:val="00473B75"/>
    <w:rsid w:val="00473D9F"/>
    <w:rsid w:val="004740A5"/>
    <w:rsid w:val="004745DE"/>
    <w:rsid w:val="00474693"/>
    <w:rsid w:val="00474950"/>
    <w:rsid w:val="00474A23"/>
    <w:rsid w:val="00475034"/>
    <w:rsid w:val="0047525E"/>
    <w:rsid w:val="00475652"/>
    <w:rsid w:val="00475ACF"/>
    <w:rsid w:val="00475AD0"/>
    <w:rsid w:val="00475B67"/>
    <w:rsid w:val="00475DA7"/>
    <w:rsid w:val="004763C3"/>
    <w:rsid w:val="004764AA"/>
    <w:rsid w:val="00476B21"/>
    <w:rsid w:val="00476F7B"/>
    <w:rsid w:val="004771B4"/>
    <w:rsid w:val="00477276"/>
    <w:rsid w:val="00477552"/>
    <w:rsid w:val="0047759E"/>
    <w:rsid w:val="00477C4A"/>
    <w:rsid w:val="00477EC5"/>
    <w:rsid w:val="004803E6"/>
    <w:rsid w:val="0048070B"/>
    <w:rsid w:val="00480F5C"/>
    <w:rsid w:val="00481505"/>
    <w:rsid w:val="004824DE"/>
    <w:rsid w:val="004827B2"/>
    <w:rsid w:val="00483447"/>
    <w:rsid w:val="00483477"/>
    <w:rsid w:val="00484047"/>
    <w:rsid w:val="00484123"/>
    <w:rsid w:val="00485487"/>
    <w:rsid w:val="00485D50"/>
    <w:rsid w:val="00485F7D"/>
    <w:rsid w:val="004863D9"/>
    <w:rsid w:val="00486C10"/>
    <w:rsid w:val="00486D48"/>
    <w:rsid w:val="00486DF1"/>
    <w:rsid w:val="00487A02"/>
    <w:rsid w:val="00487C72"/>
    <w:rsid w:val="00487F3B"/>
    <w:rsid w:val="004900D4"/>
    <w:rsid w:val="004907DC"/>
    <w:rsid w:val="004917F6"/>
    <w:rsid w:val="00491E44"/>
    <w:rsid w:val="00491EF5"/>
    <w:rsid w:val="00492189"/>
    <w:rsid w:val="004924AB"/>
    <w:rsid w:val="00493492"/>
    <w:rsid w:val="00493577"/>
    <w:rsid w:val="0049362D"/>
    <w:rsid w:val="004938BD"/>
    <w:rsid w:val="00493947"/>
    <w:rsid w:val="00493B1B"/>
    <w:rsid w:val="00493D80"/>
    <w:rsid w:val="0049407D"/>
    <w:rsid w:val="0049431B"/>
    <w:rsid w:val="004946D7"/>
    <w:rsid w:val="00494840"/>
    <w:rsid w:val="00495940"/>
    <w:rsid w:val="00495E3E"/>
    <w:rsid w:val="00495EB0"/>
    <w:rsid w:val="004962AD"/>
    <w:rsid w:val="00497C0D"/>
    <w:rsid w:val="004A03AC"/>
    <w:rsid w:val="004A0A1D"/>
    <w:rsid w:val="004A22E2"/>
    <w:rsid w:val="004A395E"/>
    <w:rsid w:val="004A3D47"/>
    <w:rsid w:val="004A40A7"/>
    <w:rsid w:val="004A60D5"/>
    <w:rsid w:val="004A61D7"/>
    <w:rsid w:val="004A65E8"/>
    <w:rsid w:val="004A77B5"/>
    <w:rsid w:val="004A7CCD"/>
    <w:rsid w:val="004A7FD2"/>
    <w:rsid w:val="004B02ED"/>
    <w:rsid w:val="004B19D6"/>
    <w:rsid w:val="004B1E52"/>
    <w:rsid w:val="004B216E"/>
    <w:rsid w:val="004B2A6D"/>
    <w:rsid w:val="004B4616"/>
    <w:rsid w:val="004B4662"/>
    <w:rsid w:val="004B46EE"/>
    <w:rsid w:val="004B4D48"/>
    <w:rsid w:val="004B5021"/>
    <w:rsid w:val="004B5C53"/>
    <w:rsid w:val="004B5D3B"/>
    <w:rsid w:val="004B64D3"/>
    <w:rsid w:val="004B66D3"/>
    <w:rsid w:val="004B68F5"/>
    <w:rsid w:val="004B717F"/>
    <w:rsid w:val="004C005A"/>
    <w:rsid w:val="004C0278"/>
    <w:rsid w:val="004C0BB8"/>
    <w:rsid w:val="004C1185"/>
    <w:rsid w:val="004C2175"/>
    <w:rsid w:val="004C2488"/>
    <w:rsid w:val="004C320B"/>
    <w:rsid w:val="004C3ACB"/>
    <w:rsid w:val="004C42F8"/>
    <w:rsid w:val="004C4A1D"/>
    <w:rsid w:val="004C6727"/>
    <w:rsid w:val="004C6A14"/>
    <w:rsid w:val="004C6B51"/>
    <w:rsid w:val="004C718D"/>
    <w:rsid w:val="004C7CB5"/>
    <w:rsid w:val="004C7D17"/>
    <w:rsid w:val="004D21C8"/>
    <w:rsid w:val="004D2370"/>
    <w:rsid w:val="004D28D5"/>
    <w:rsid w:val="004D3521"/>
    <w:rsid w:val="004D366F"/>
    <w:rsid w:val="004D3E23"/>
    <w:rsid w:val="004D4183"/>
    <w:rsid w:val="004D43B9"/>
    <w:rsid w:val="004D4B5F"/>
    <w:rsid w:val="004D5230"/>
    <w:rsid w:val="004D5619"/>
    <w:rsid w:val="004D6004"/>
    <w:rsid w:val="004D6073"/>
    <w:rsid w:val="004D7577"/>
    <w:rsid w:val="004D7ACD"/>
    <w:rsid w:val="004D7D78"/>
    <w:rsid w:val="004D7EA7"/>
    <w:rsid w:val="004E010B"/>
    <w:rsid w:val="004E0445"/>
    <w:rsid w:val="004E0BC5"/>
    <w:rsid w:val="004E2835"/>
    <w:rsid w:val="004E28E7"/>
    <w:rsid w:val="004E3925"/>
    <w:rsid w:val="004E41D5"/>
    <w:rsid w:val="004E531E"/>
    <w:rsid w:val="004E5622"/>
    <w:rsid w:val="004E5BB8"/>
    <w:rsid w:val="004E68FA"/>
    <w:rsid w:val="004E6D06"/>
    <w:rsid w:val="004E7CDD"/>
    <w:rsid w:val="004F051F"/>
    <w:rsid w:val="004F06EF"/>
    <w:rsid w:val="004F1397"/>
    <w:rsid w:val="004F1571"/>
    <w:rsid w:val="004F15B1"/>
    <w:rsid w:val="004F1A6D"/>
    <w:rsid w:val="004F20A2"/>
    <w:rsid w:val="004F230D"/>
    <w:rsid w:val="004F36B9"/>
    <w:rsid w:val="004F3F5A"/>
    <w:rsid w:val="004F4213"/>
    <w:rsid w:val="004F4AF5"/>
    <w:rsid w:val="004F4C0E"/>
    <w:rsid w:val="004F52BD"/>
    <w:rsid w:val="004F6C18"/>
    <w:rsid w:val="004F755C"/>
    <w:rsid w:val="00500173"/>
    <w:rsid w:val="005013A7"/>
    <w:rsid w:val="005019E5"/>
    <w:rsid w:val="00501A8C"/>
    <w:rsid w:val="00501C4A"/>
    <w:rsid w:val="00501CC3"/>
    <w:rsid w:val="0050218E"/>
    <w:rsid w:val="00502645"/>
    <w:rsid w:val="00502BF4"/>
    <w:rsid w:val="00502F9A"/>
    <w:rsid w:val="00503174"/>
    <w:rsid w:val="005039AC"/>
    <w:rsid w:val="00504A84"/>
    <w:rsid w:val="0050536E"/>
    <w:rsid w:val="00505502"/>
    <w:rsid w:val="0050592A"/>
    <w:rsid w:val="00505C4A"/>
    <w:rsid w:val="00506425"/>
    <w:rsid w:val="0050697C"/>
    <w:rsid w:val="00507155"/>
    <w:rsid w:val="00507384"/>
    <w:rsid w:val="0050746E"/>
    <w:rsid w:val="005074CE"/>
    <w:rsid w:val="00507786"/>
    <w:rsid w:val="005077EE"/>
    <w:rsid w:val="005079C8"/>
    <w:rsid w:val="00507A2C"/>
    <w:rsid w:val="005103BD"/>
    <w:rsid w:val="00510C3C"/>
    <w:rsid w:val="00510F77"/>
    <w:rsid w:val="0051278E"/>
    <w:rsid w:val="00512910"/>
    <w:rsid w:val="00512AAA"/>
    <w:rsid w:val="005131CA"/>
    <w:rsid w:val="00513583"/>
    <w:rsid w:val="005135C9"/>
    <w:rsid w:val="005136E6"/>
    <w:rsid w:val="00514F15"/>
    <w:rsid w:val="00515F4E"/>
    <w:rsid w:val="0051618A"/>
    <w:rsid w:val="00516309"/>
    <w:rsid w:val="00516B40"/>
    <w:rsid w:val="00517295"/>
    <w:rsid w:val="005172D3"/>
    <w:rsid w:val="00517D83"/>
    <w:rsid w:val="00520097"/>
    <w:rsid w:val="005208E0"/>
    <w:rsid w:val="00520A50"/>
    <w:rsid w:val="00521566"/>
    <w:rsid w:val="00521633"/>
    <w:rsid w:val="00521B25"/>
    <w:rsid w:val="00521F6E"/>
    <w:rsid w:val="00521FFA"/>
    <w:rsid w:val="005223EA"/>
    <w:rsid w:val="005227E4"/>
    <w:rsid w:val="00522B22"/>
    <w:rsid w:val="005232C6"/>
    <w:rsid w:val="00524128"/>
    <w:rsid w:val="00524719"/>
    <w:rsid w:val="005248A5"/>
    <w:rsid w:val="00524908"/>
    <w:rsid w:val="00524BBF"/>
    <w:rsid w:val="00525919"/>
    <w:rsid w:val="00526185"/>
    <w:rsid w:val="00526209"/>
    <w:rsid w:val="005265F1"/>
    <w:rsid w:val="00526E5A"/>
    <w:rsid w:val="00527C33"/>
    <w:rsid w:val="00530044"/>
    <w:rsid w:val="00530105"/>
    <w:rsid w:val="00530577"/>
    <w:rsid w:val="00530C0B"/>
    <w:rsid w:val="00530C24"/>
    <w:rsid w:val="00530CEF"/>
    <w:rsid w:val="00530E73"/>
    <w:rsid w:val="00531779"/>
    <w:rsid w:val="00531FE1"/>
    <w:rsid w:val="0053269E"/>
    <w:rsid w:val="00532928"/>
    <w:rsid w:val="00532AF2"/>
    <w:rsid w:val="005338FD"/>
    <w:rsid w:val="00533B0E"/>
    <w:rsid w:val="0053414E"/>
    <w:rsid w:val="005341D0"/>
    <w:rsid w:val="0053437F"/>
    <w:rsid w:val="00534FFB"/>
    <w:rsid w:val="00535B78"/>
    <w:rsid w:val="005364D0"/>
    <w:rsid w:val="0053663A"/>
    <w:rsid w:val="0053678B"/>
    <w:rsid w:val="00536E5C"/>
    <w:rsid w:val="00537221"/>
    <w:rsid w:val="00537F26"/>
    <w:rsid w:val="00540186"/>
    <w:rsid w:val="005414C0"/>
    <w:rsid w:val="0054155A"/>
    <w:rsid w:val="00541766"/>
    <w:rsid w:val="00541786"/>
    <w:rsid w:val="00541965"/>
    <w:rsid w:val="00541E43"/>
    <w:rsid w:val="00542451"/>
    <w:rsid w:val="0054253E"/>
    <w:rsid w:val="00542923"/>
    <w:rsid w:val="005432CF"/>
    <w:rsid w:val="005444C1"/>
    <w:rsid w:val="0054460C"/>
    <w:rsid w:val="00544B50"/>
    <w:rsid w:val="00544D71"/>
    <w:rsid w:val="00546594"/>
    <w:rsid w:val="00546DEE"/>
    <w:rsid w:val="005502A1"/>
    <w:rsid w:val="00550936"/>
    <w:rsid w:val="00550EAD"/>
    <w:rsid w:val="00550F94"/>
    <w:rsid w:val="00551116"/>
    <w:rsid w:val="00551154"/>
    <w:rsid w:val="0055175B"/>
    <w:rsid w:val="00551A83"/>
    <w:rsid w:val="005522D3"/>
    <w:rsid w:val="005527AB"/>
    <w:rsid w:val="00553895"/>
    <w:rsid w:val="00553B60"/>
    <w:rsid w:val="005541D6"/>
    <w:rsid w:val="005545F5"/>
    <w:rsid w:val="00554684"/>
    <w:rsid w:val="00554FF3"/>
    <w:rsid w:val="005560F8"/>
    <w:rsid w:val="00557142"/>
    <w:rsid w:val="00557E19"/>
    <w:rsid w:val="005600FC"/>
    <w:rsid w:val="0056017C"/>
    <w:rsid w:val="00560FD8"/>
    <w:rsid w:val="00561803"/>
    <w:rsid w:val="00561882"/>
    <w:rsid w:val="005623E3"/>
    <w:rsid w:val="0056267E"/>
    <w:rsid w:val="00562FD9"/>
    <w:rsid w:val="00563606"/>
    <w:rsid w:val="00563664"/>
    <w:rsid w:val="00563700"/>
    <w:rsid w:val="00563B8B"/>
    <w:rsid w:val="0056439D"/>
    <w:rsid w:val="005647CA"/>
    <w:rsid w:val="00566A32"/>
    <w:rsid w:val="00567234"/>
    <w:rsid w:val="005677F7"/>
    <w:rsid w:val="005700A1"/>
    <w:rsid w:val="005705AB"/>
    <w:rsid w:val="00570EC8"/>
    <w:rsid w:val="00571150"/>
    <w:rsid w:val="00571364"/>
    <w:rsid w:val="00571E7F"/>
    <w:rsid w:val="00573876"/>
    <w:rsid w:val="0057484A"/>
    <w:rsid w:val="0057545C"/>
    <w:rsid w:val="00575555"/>
    <w:rsid w:val="005764B5"/>
    <w:rsid w:val="0057708D"/>
    <w:rsid w:val="0057754B"/>
    <w:rsid w:val="00577E9A"/>
    <w:rsid w:val="00580506"/>
    <w:rsid w:val="005810A4"/>
    <w:rsid w:val="00581B2A"/>
    <w:rsid w:val="00581C50"/>
    <w:rsid w:val="00582129"/>
    <w:rsid w:val="00582485"/>
    <w:rsid w:val="005831F8"/>
    <w:rsid w:val="005838DC"/>
    <w:rsid w:val="00583A57"/>
    <w:rsid w:val="0058481D"/>
    <w:rsid w:val="00584927"/>
    <w:rsid w:val="00584F18"/>
    <w:rsid w:val="00585DD9"/>
    <w:rsid w:val="00585F0C"/>
    <w:rsid w:val="0058655C"/>
    <w:rsid w:val="00586D38"/>
    <w:rsid w:val="00586F6C"/>
    <w:rsid w:val="00587069"/>
    <w:rsid w:val="00587F1E"/>
    <w:rsid w:val="00587F5F"/>
    <w:rsid w:val="00590D3D"/>
    <w:rsid w:val="00590E82"/>
    <w:rsid w:val="00590FF0"/>
    <w:rsid w:val="005915B9"/>
    <w:rsid w:val="0059167E"/>
    <w:rsid w:val="00591691"/>
    <w:rsid w:val="005919F3"/>
    <w:rsid w:val="005920C7"/>
    <w:rsid w:val="00592AC3"/>
    <w:rsid w:val="00592BF3"/>
    <w:rsid w:val="005932B7"/>
    <w:rsid w:val="00593B9C"/>
    <w:rsid w:val="0059430F"/>
    <w:rsid w:val="005943BA"/>
    <w:rsid w:val="00594886"/>
    <w:rsid w:val="005949C7"/>
    <w:rsid w:val="00595646"/>
    <w:rsid w:val="005969AE"/>
    <w:rsid w:val="005969CA"/>
    <w:rsid w:val="00597818"/>
    <w:rsid w:val="00597A2F"/>
    <w:rsid w:val="005A05D8"/>
    <w:rsid w:val="005A0D8B"/>
    <w:rsid w:val="005A12F9"/>
    <w:rsid w:val="005A1571"/>
    <w:rsid w:val="005A18F1"/>
    <w:rsid w:val="005A1D0B"/>
    <w:rsid w:val="005A2794"/>
    <w:rsid w:val="005A2F07"/>
    <w:rsid w:val="005A56E4"/>
    <w:rsid w:val="005A5770"/>
    <w:rsid w:val="005A5DD7"/>
    <w:rsid w:val="005A6028"/>
    <w:rsid w:val="005A6818"/>
    <w:rsid w:val="005A7E1A"/>
    <w:rsid w:val="005A7FA1"/>
    <w:rsid w:val="005B01DB"/>
    <w:rsid w:val="005B1D26"/>
    <w:rsid w:val="005B1EE5"/>
    <w:rsid w:val="005B21CC"/>
    <w:rsid w:val="005B2750"/>
    <w:rsid w:val="005B2A4B"/>
    <w:rsid w:val="005B2C44"/>
    <w:rsid w:val="005B2C8B"/>
    <w:rsid w:val="005B2F21"/>
    <w:rsid w:val="005B2F43"/>
    <w:rsid w:val="005B3393"/>
    <w:rsid w:val="005B3461"/>
    <w:rsid w:val="005B3B31"/>
    <w:rsid w:val="005B3CAC"/>
    <w:rsid w:val="005B3CE0"/>
    <w:rsid w:val="005B40AB"/>
    <w:rsid w:val="005B42FC"/>
    <w:rsid w:val="005B4CB7"/>
    <w:rsid w:val="005B4D0A"/>
    <w:rsid w:val="005B4E8F"/>
    <w:rsid w:val="005B4F11"/>
    <w:rsid w:val="005B4F82"/>
    <w:rsid w:val="005B591C"/>
    <w:rsid w:val="005B5AFD"/>
    <w:rsid w:val="005B5B2A"/>
    <w:rsid w:val="005B5EF7"/>
    <w:rsid w:val="005B6D2F"/>
    <w:rsid w:val="005B6E85"/>
    <w:rsid w:val="005B709A"/>
    <w:rsid w:val="005B732E"/>
    <w:rsid w:val="005C0520"/>
    <w:rsid w:val="005C0F06"/>
    <w:rsid w:val="005C1513"/>
    <w:rsid w:val="005C1574"/>
    <w:rsid w:val="005C2752"/>
    <w:rsid w:val="005C2B6A"/>
    <w:rsid w:val="005C2B98"/>
    <w:rsid w:val="005C31BD"/>
    <w:rsid w:val="005C39FE"/>
    <w:rsid w:val="005C3D5C"/>
    <w:rsid w:val="005C401C"/>
    <w:rsid w:val="005C464C"/>
    <w:rsid w:val="005C4879"/>
    <w:rsid w:val="005C51F9"/>
    <w:rsid w:val="005C535A"/>
    <w:rsid w:val="005C604A"/>
    <w:rsid w:val="005C63CD"/>
    <w:rsid w:val="005C64DE"/>
    <w:rsid w:val="005C68FE"/>
    <w:rsid w:val="005D01B9"/>
    <w:rsid w:val="005D02ED"/>
    <w:rsid w:val="005D07B5"/>
    <w:rsid w:val="005D0D9D"/>
    <w:rsid w:val="005D10F7"/>
    <w:rsid w:val="005D14C2"/>
    <w:rsid w:val="005D1524"/>
    <w:rsid w:val="005D152E"/>
    <w:rsid w:val="005D1F68"/>
    <w:rsid w:val="005D224E"/>
    <w:rsid w:val="005D276D"/>
    <w:rsid w:val="005D41D5"/>
    <w:rsid w:val="005D4BAD"/>
    <w:rsid w:val="005D4BC6"/>
    <w:rsid w:val="005D517F"/>
    <w:rsid w:val="005D5DDC"/>
    <w:rsid w:val="005D601A"/>
    <w:rsid w:val="005D66B6"/>
    <w:rsid w:val="005D686E"/>
    <w:rsid w:val="005D6DE0"/>
    <w:rsid w:val="005D7296"/>
    <w:rsid w:val="005D72E0"/>
    <w:rsid w:val="005D7857"/>
    <w:rsid w:val="005D7CF7"/>
    <w:rsid w:val="005E0F79"/>
    <w:rsid w:val="005E0FE5"/>
    <w:rsid w:val="005E1075"/>
    <w:rsid w:val="005E1095"/>
    <w:rsid w:val="005E1276"/>
    <w:rsid w:val="005E18EA"/>
    <w:rsid w:val="005E1E07"/>
    <w:rsid w:val="005E263A"/>
    <w:rsid w:val="005E420C"/>
    <w:rsid w:val="005E495D"/>
    <w:rsid w:val="005E4BAE"/>
    <w:rsid w:val="005E4F43"/>
    <w:rsid w:val="005E544B"/>
    <w:rsid w:val="005E5DAF"/>
    <w:rsid w:val="005E6178"/>
    <w:rsid w:val="005E6D66"/>
    <w:rsid w:val="005E6EC9"/>
    <w:rsid w:val="005E705B"/>
    <w:rsid w:val="005E7266"/>
    <w:rsid w:val="005F0008"/>
    <w:rsid w:val="005F0187"/>
    <w:rsid w:val="005F026C"/>
    <w:rsid w:val="005F0B2A"/>
    <w:rsid w:val="005F0DEC"/>
    <w:rsid w:val="005F0EA6"/>
    <w:rsid w:val="005F1059"/>
    <w:rsid w:val="005F1238"/>
    <w:rsid w:val="005F1AB3"/>
    <w:rsid w:val="005F1E3A"/>
    <w:rsid w:val="005F2E98"/>
    <w:rsid w:val="005F3C0E"/>
    <w:rsid w:val="005F3D79"/>
    <w:rsid w:val="005F4FD4"/>
    <w:rsid w:val="005F5273"/>
    <w:rsid w:val="005F56EA"/>
    <w:rsid w:val="005F6475"/>
    <w:rsid w:val="005F6864"/>
    <w:rsid w:val="005F6B8C"/>
    <w:rsid w:val="005F6C6D"/>
    <w:rsid w:val="005F7382"/>
    <w:rsid w:val="0060029F"/>
    <w:rsid w:val="006002A0"/>
    <w:rsid w:val="006002FE"/>
    <w:rsid w:val="00600EC1"/>
    <w:rsid w:val="00601706"/>
    <w:rsid w:val="00601709"/>
    <w:rsid w:val="006019D4"/>
    <w:rsid w:val="00601BA9"/>
    <w:rsid w:val="00601E38"/>
    <w:rsid w:val="0060204C"/>
    <w:rsid w:val="00602806"/>
    <w:rsid w:val="0060280C"/>
    <w:rsid w:val="00602AA6"/>
    <w:rsid w:val="00603342"/>
    <w:rsid w:val="00603DC7"/>
    <w:rsid w:val="00604122"/>
    <w:rsid w:val="006041A8"/>
    <w:rsid w:val="006045EA"/>
    <w:rsid w:val="00604C43"/>
    <w:rsid w:val="00604D56"/>
    <w:rsid w:val="00604DEC"/>
    <w:rsid w:val="00605184"/>
    <w:rsid w:val="00605200"/>
    <w:rsid w:val="006052DC"/>
    <w:rsid w:val="00606BCD"/>
    <w:rsid w:val="00607CF1"/>
    <w:rsid w:val="00610AC1"/>
    <w:rsid w:val="00611129"/>
    <w:rsid w:val="006119BA"/>
    <w:rsid w:val="00611A8B"/>
    <w:rsid w:val="00612D8C"/>
    <w:rsid w:val="00613011"/>
    <w:rsid w:val="006131F7"/>
    <w:rsid w:val="00613C70"/>
    <w:rsid w:val="00613EF1"/>
    <w:rsid w:val="00614845"/>
    <w:rsid w:val="006157C5"/>
    <w:rsid w:val="00615B41"/>
    <w:rsid w:val="00615D11"/>
    <w:rsid w:val="006163FA"/>
    <w:rsid w:val="00616B50"/>
    <w:rsid w:val="006176EA"/>
    <w:rsid w:val="0062044D"/>
    <w:rsid w:val="0062049E"/>
    <w:rsid w:val="006205A8"/>
    <w:rsid w:val="00620DBF"/>
    <w:rsid w:val="006224F2"/>
    <w:rsid w:val="00622547"/>
    <w:rsid w:val="006226C4"/>
    <w:rsid w:val="006230D4"/>
    <w:rsid w:val="006233B2"/>
    <w:rsid w:val="00623DCF"/>
    <w:rsid w:val="00624C07"/>
    <w:rsid w:val="0062520D"/>
    <w:rsid w:val="006254AE"/>
    <w:rsid w:val="00625585"/>
    <w:rsid w:val="00625A4C"/>
    <w:rsid w:val="0062636C"/>
    <w:rsid w:val="00626384"/>
    <w:rsid w:val="006268DD"/>
    <w:rsid w:val="00626A43"/>
    <w:rsid w:val="00626B44"/>
    <w:rsid w:val="00626FDD"/>
    <w:rsid w:val="00630207"/>
    <w:rsid w:val="006304F1"/>
    <w:rsid w:val="00630516"/>
    <w:rsid w:val="00630541"/>
    <w:rsid w:val="0063076F"/>
    <w:rsid w:val="0063133A"/>
    <w:rsid w:val="00631FDA"/>
    <w:rsid w:val="00632989"/>
    <w:rsid w:val="00633066"/>
    <w:rsid w:val="006336CB"/>
    <w:rsid w:val="00633707"/>
    <w:rsid w:val="00634869"/>
    <w:rsid w:val="00634971"/>
    <w:rsid w:val="0063537F"/>
    <w:rsid w:val="00635AC6"/>
    <w:rsid w:val="00635B79"/>
    <w:rsid w:val="00635CD2"/>
    <w:rsid w:val="00636924"/>
    <w:rsid w:val="006371B8"/>
    <w:rsid w:val="00637274"/>
    <w:rsid w:val="006379D0"/>
    <w:rsid w:val="00637BE4"/>
    <w:rsid w:val="0064016F"/>
    <w:rsid w:val="00640586"/>
    <w:rsid w:val="00640805"/>
    <w:rsid w:val="00640D50"/>
    <w:rsid w:val="0064119D"/>
    <w:rsid w:val="006418F9"/>
    <w:rsid w:val="00642481"/>
    <w:rsid w:val="006428E5"/>
    <w:rsid w:val="00642B46"/>
    <w:rsid w:val="00642C8A"/>
    <w:rsid w:val="00643D67"/>
    <w:rsid w:val="00644018"/>
    <w:rsid w:val="00644DA0"/>
    <w:rsid w:val="00645866"/>
    <w:rsid w:val="00645EF0"/>
    <w:rsid w:val="00645F68"/>
    <w:rsid w:val="00646318"/>
    <w:rsid w:val="006473BA"/>
    <w:rsid w:val="00647C6E"/>
    <w:rsid w:val="006501FE"/>
    <w:rsid w:val="00650BB3"/>
    <w:rsid w:val="00651043"/>
    <w:rsid w:val="00651D10"/>
    <w:rsid w:val="00651DF6"/>
    <w:rsid w:val="00652096"/>
    <w:rsid w:val="006522F7"/>
    <w:rsid w:val="00652692"/>
    <w:rsid w:val="00652B3C"/>
    <w:rsid w:val="00654496"/>
    <w:rsid w:val="006549CC"/>
    <w:rsid w:val="0065531E"/>
    <w:rsid w:val="006557DF"/>
    <w:rsid w:val="0065594D"/>
    <w:rsid w:val="00656836"/>
    <w:rsid w:val="006578B9"/>
    <w:rsid w:val="00657C8D"/>
    <w:rsid w:val="00660A89"/>
    <w:rsid w:val="00660F42"/>
    <w:rsid w:val="00660FF6"/>
    <w:rsid w:val="0066100F"/>
    <w:rsid w:val="006611B5"/>
    <w:rsid w:val="0066146F"/>
    <w:rsid w:val="00661C33"/>
    <w:rsid w:val="00661C72"/>
    <w:rsid w:val="0066201A"/>
    <w:rsid w:val="0066226E"/>
    <w:rsid w:val="00662ED6"/>
    <w:rsid w:val="006632F7"/>
    <w:rsid w:val="00663D8C"/>
    <w:rsid w:val="00663FEA"/>
    <w:rsid w:val="006641EC"/>
    <w:rsid w:val="0066444E"/>
    <w:rsid w:val="00664DCA"/>
    <w:rsid w:val="006651BF"/>
    <w:rsid w:val="00665C6D"/>
    <w:rsid w:val="00666D8D"/>
    <w:rsid w:val="00666FBE"/>
    <w:rsid w:val="00667327"/>
    <w:rsid w:val="00667652"/>
    <w:rsid w:val="0066795F"/>
    <w:rsid w:val="00667FA9"/>
    <w:rsid w:val="006704BF"/>
    <w:rsid w:val="00671AAB"/>
    <w:rsid w:val="00671F19"/>
    <w:rsid w:val="0067230A"/>
    <w:rsid w:val="00672CE5"/>
    <w:rsid w:val="00672E8C"/>
    <w:rsid w:val="00673072"/>
    <w:rsid w:val="006734C0"/>
    <w:rsid w:val="006739C3"/>
    <w:rsid w:val="00673B4A"/>
    <w:rsid w:val="00673EE2"/>
    <w:rsid w:val="00673F86"/>
    <w:rsid w:val="00674242"/>
    <w:rsid w:val="0067429F"/>
    <w:rsid w:val="0067495D"/>
    <w:rsid w:val="00674BDD"/>
    <w:rsid w:val="00674D30"/>
    <w:rsid w:val="0067531E"/>
    <w:rsid w:val="0067549E"/>
    <w:rsid w:val="00675725"/>
    <w:rsid w:val="006758C4"/>
    <w:rsid w:val="006759B6"/>
    <w:rsid w:val="00675A0E"/>
    <w:rsid w:val="00675D21"/>
    <w:rsid w:val="0067676E"/>
    <w:rsid w:val="00676EBE"/>
    <w:rsid w:val="0067707B"/>
    <w:rsid w:val="006772FA"/>
    <w:rsid w:val="00677468"/>
    <w:rsid w:val="00677D7C"/>
    <w:rsid w:val="00677E1C"/>
    <w:rsid w:val="00680451"/>
    <w:rsid w:val="006804EA"/>
    <w:rsid w:val="006808C1"/>
    <w:rsid w:val="00681FEE"/>
    <w:rsid w:val="006829A0"/>
    <w:rsid w:val="00682D1B"/>
    <w:rsid w:val="00682EC6"/>
    <w:rsid w:val="0068309F"/>
    <w:rsid w:val="006832AD"/>
    <w:rsid w:val="00683366"/>
    <w:rsid w:val="00683C95"/>
    <w:rsid w:val="00684F4A"/>
    <w:rsid w:val="006855B6"/>
    <w:rsid w:val="00685652"/>
    <w:rsid w:val="006856DA"/>
    <w:rsid w:val="00685896"/>
    <w:rsid w:val="00686213"/>
    <w:rsid w:val="0068669A"/>
    <w:rsid w:val="006866F4"/>
    <w:rsid w:val="00686A2D"/>
    <w:rsid w:val="00686DF7"/>
    <w:rsid w:val="00686ED4"/>
    <w:rsid w:val="00686F56"/>
    <w:rsid w:val="006877BF"/>
    <w:rsid w:val="00687C5D"/>
    <w:rsid w:val="006907D1"/>
    <w:rsid w:val="00691383"/>
    <w:rsid w:val="00691447"/>
    <w:rsid w:val="00691B1A"/>
    <w:rsid w:val="00692181"/>
    <w:rsid w:val="006923E1"/>
    <w:rsid w:val="00692766"/>
    <w:rsid w:val="00692CB8"/>
    <w:rsid w:val="00693A0D"/>
    <w:rsid w:val="00694321"/>
    <w:rsid w:val="0069492B"/>
    <w:rsid w:val="00695303"/>
    <w:rsid w:val="00696E46"/>
    <w:rsid w:val="00696FDF"/>
    <w:rsid w:val="006A00AF"/>
    <w:rsid w:val="006A0256"/>
    <w:rsid w:val="006A0671"/>
    <w:rsid w:val="006A0850"/>
    <w:rsid w:val="006A182A"/>
    <w:rsid w:val="006A19AB"/>
    <w:rsid w:val="006A1C85"/>
    <w:rsid w:val="006A1E64"/>
    <w:rsid w:val="006A2018"/>
    <w:rsid w:val="006A232A"/>
    <w:rsid w:val="006A30CE"/>
    <w:rsid w:val="006A31B3"/>
    <w:rsid w:val="006A3277"/>
    <w:rsid w:val="006A423D"/>
    <w:rsid w:val="006A4EBF"/>
    <w:rsid w:val="006A5009"/>
    <w:rsid w:val="006A5A09"/>
    <w:rsid w:val="006A654D"/>
    <w:rsid w:val="006A7628"/>
    <w:rsid w:val="006A789F"/>
    <w:rsid w:val="006A7A7B"/>
    <w:rsid w:val="006B03A3"/>
    <w:rsid w:val="006B0741"/>
    <w:rsid w:val="006B0A09"/>
    <w:rsid w:val="006B0D2B"/>
    <w:rsid w:val="006B0D3C"/>
    <w:rsid w:val="006B10FC"/>
    <w:rsid w:val="006B14B9"/>
    <w:rsid w:val="006B1DE4"/>
    <w:rsid w:val="006B1EB3"/>
    <w:rsid w:val="006B22F9"/>
    <w:rsid w:val="006B2E92"/>
    <w:rsid w:val="006B3928"/>
    <w:rsid w:val="006B428F"/>
    <w:rsid w:val="006B5191"/>
    <w:rsid w:val="006B524E"/>
    <w:rsid w:val="006B5358"/>
    <w:rsid w:val="006B5655"/>
    <w:rsid w:val="006B622A"/>
    <w:rsid w:val="006B65AD"/>
    <w:rsid w:val="006B68DB"/>
    <w:rsid w:val="006B6F10"/>
    <w:rsid w:val="006B7C54"/>
    <w:rsid w:val="006B7F65"/>
    <w:rsid w:val="006C0459"/>
    <w:rsid w:val="006C0C17"/>
    <w:rsid w:val="006C0ECB"/>
    <w:rsid w:val="006C14FF"/>
    <w:rsid w:val="006C17E6"/>
    <w:rsid w:val="006C18A2"/>
    <w:rsid w:val="006C1B0C"/>
    <w:rsid w:val="006C3315"/>
    <w:rsid w:val="006C3409"/>
    <w:rsid w:val="006C35CD"/>
    <w:rsid w:val="006C3618"/>
    <w:rsid w:val="006C4461"/>
    <w:rsid w:val="006C47FB"/>
    <w:rsid w:val="006C52B4"/>
    <w:rsid w:val="006C5714"/>
    <w:rsid w:val="006C5A34"/>
    <w:rsid w:val="006C5D15"/>
    <w:rsid w:val="006C5D38"/>
    <w:rsid w:val="006C7C99"/>
    <w:rsid w:val="006C7F39"/>
    <w:rsid w:val="006D0063"/>
    <w:rsid w:val="006D0E25"/>
    <w:rsid w:val="006D12BE"/>
    <w:rsid w:val="006D1AB6"/>
    <w:rsid w:val="006D1FE8"/>
    <w:rsid w:val="006D33E5"/>
    <w:rsid w:val="006D4228"/>
    <w:rsid w:val="006D4744"/>
    <w:rsid w:val="006D4FE5"/>
    <w:rsid w:val="006D5983"/>
    <w:rsid w:val="006D5D25"/>
    <w:rsid w:val="006D6ABF"/>
    <w:rsid w:val="006D6C72"/>
    <w:rsid w:val="006D7289"/>
    <w:rsid w:val="006D7647"/>
    <w:rsid w:val="006D7B42"/>
    <w:rsid w:val="006D7D4F"/>
    <w:rsid w:val="006E0CB9"/>
    <w:rsid w:val="006E1495"/>
    <w:rsid w:val="006E1561"/>
    <w:rsid w:val="006E197D"/>
    <w:rsid w:val="006E2911"/>
    <w:rsid w:val="006E2E95"/>
    <w:rsid w:val="006E2F5D"/>
    <w:rsid w:val="006E38F8"/>
    <w:rsid w:val="006E57E8"/>
    <w:rsid w:val="006E6738"/>
    <w:rsid w:val="006E6E2C"/>
    <w:rsid w:val="006E7069"/>
    <w:rsid w:val="006E72EB"/>
    <w:rsid w:val="006E73BB"/>
    <w:rsid w:val="006E79CA"/>
    <w:rsid w:val="006E7A86"/>
    <w:rsid w:val="006E7D6D"/>
    <w:rsid w:val="006F043C"/>
    <w:rsid w:val="006F12D3"/>
    <w:rsid w:val="006F154D"/>
    <w:rsid w:val="006F1A20"/>
    <w:rsid w:val="006F1E08"/>
    <w:rsid w:val="006F1F34"/>
    <w:rsid w:val="006F2DF9"/>
    <w:rsid w:val="006F30E8"/>
    <w:rsid w:val="006F3944"/>
    <w:rsid w:val="006F3B29"/>
    <w:rsid w:val="006F4086"/>
    <w:rsid w:val="006F41BF"/>
    <w:rsid w:val="006F426B"/>
    <w:rsid w:val="006F4410"/>
    <w:rsid w:val="006F4729"/>
    <w:rsid w:val="006F4D1A"/>
    <w:rsid w:val="006F4E55"/>
    <w:rsid w:val="006F5985"/>
    <w:rsid w:val="006F640D"/>
    <w:rsid w:val="006F64B7"/>
    <w:rsid w:val="006F671D"/>
    <w:rsid w:val="006F6ACD"/>
    <w:rsid w:val="006F7AB5"/>
    <w:rsid w:val="006F7E86"/>
    <w:rsid w:val="00700028"/>
    <w:rsid w:val="007002F2"/>
    <w:rsid w:val="00700691"/>
    <w:rsid w:val="00700939"/>
    <w:rsid w:val="00700CA6"/>
    <w:rsid w:val="00700D4A"/>
    <w:rsid w:val="00700E1D"/>
    <w:rsid w:val="00701652"/>
    <w:rsid w:val="0070254D"/>
    <w:rsid w:val="007027E8"/>
    <w:rsid w:val="00702EF4"/>
    <w:rsid w:val="00703656"/>
    <w:rsid w:val="007037A9"/>
    <w:rsid w:val="0070451D"/>
    <w:rsid w:val="00704899"/>
    <w:rsid w:val="007049DA"/>
    <w:rsid w:val="007051E7"/>
    <w:rsid w:val="007053E3"/>
    <w:rsid w:val="0070552A"/>
    <w:rsid w:val="00705A41"/>
    <w:rsid w:val="00707083"/>
    <w:rsid w:val="00707675"/>
    <w:rsid w:val="00707A1F"/>
    <w:rsid w:val="00707F1A"/>
    <w:rsid w:val="00707FA1"/>
    <w:rsid w:val="0071023C"/>
    <w:rsid w:val="00710A0C"/>
    <w:rsid w:val="00710A4E"/>
    <w:rsid w:val="00710E00"/>
    <w:rsid w:val="0071107C"/>
    <w:rsid w:val="00711273"/>
    <w:rsid w:val="00712F10"/>
    <w:rsid w:val="0071320C"/>
    <w:rsid w:val="0071354B"/>
    <w:rsid w:val="007135A0"/>
    <w:rsid w:val="0071361B"/>
    <w:rsid w:val="00713711"/>
    <w:rsid w:val="00713C42"/>
    <w:rsid w:val="00714002"/>
    <w:rsid w:val="007142A4"/>
    <w:rsid w:val="0071469C"/>
    <w:rsid w:val="00714AF5"/>
    <w:rsid w:val="00714DA0"/>
    <w:rsid w:val="007150E4"/>
    <w:rsid w:val="00715535"/>
    <w:rsid w:val="00715815"/>
    <w:rsid w:val="007162E9"/>
    <w:rsid w:val="00716D65"/>
    <w:rsid w:val="00717ABF"/>
    <w:rsid w:val="00717B23"/>
    <w:rsid w:val="00717EBB"/>
    <w:rsid w:val="00720A6B"/>
    <w:rsid w:val="00720AAF"/>
    <w:rsid w:val="00720E20"/>
    <w:rsid w:val="007214E1"/>
    <w:rsid w:val="007222C5"/>
    <w:rsid w:val="00722C14"/>
    <w:rsid w:val="00723071"/>
    <w:rsid w:val="007234EB"/>
    <w:rsid w:val="00723741"/>
    <w:rsid w:val="00724825"/>
    <w:rsid w:val="0072575C"/>
    <w:rsid w:val="007258C8"/>
    <w:rsid w:val="00725AE4"/>
    <w:rsid w:val="00726EDC"/>
    <w:rsid w:val="00727AB0"/>
    <w:rsid w:val="00727BA2"/>
    <w:rsid w:val="00730D2C"/>
    <w:rsid w:val="00731677"/>
    <w:rsid w:val="00731B7D"/>
    <w:rsid w:val="007321B7"/>
    <w:rsid w:val="0073313B"/>
    <w:rsid w:val="0073346F"/>
    <w:rsid w:val="007336C6"/>
    <w:rsid w:val="00733B12"/>
    <w:rsid w:val="00733F52"/>
    <w:rsid w:val="0073421F"/>
    <w:rsid w:val="007343C9"/>
    <w:rsid w:val="0073448E"/>
    <w:rsid w:val="0073484E"/>
    <w:rsid w:val="00735058"/>
    <w:rsid w:val="0073523F"/>
    <w:rsid w:val="007353F5"/>
    <w:rsid w:val="00735B69"/>
    <w:rsid w:val="00735B6E"/>
    <w:rsid w:val="00735F65"/>
    <w:rsid w:val="007361EA"/>
    <w:rsid w:val="0073623C"/>
    <w:rsid w:val="007362D0"/>
    <w:rsid w:val="0073764A"/>
    <w:rsid w:val="00737D38"/>
    <w:rsid w:val="00737F6E"/>
    <w:rsid w:val="007408B4"/>
    <w:rsid w:val="00740E3B"/>
    <w:rsid w:val="00740F2A"/>
    <w:rsid w:val="00740F60"/>
    <w:rsid w:val="0074131E"/>
    <w:rsid w:val="00741B12"/>
    <w:rsid w:val="00741D7B"/>
    <w:rsid w:val="0074213B"/>
    <w:rsid w:val="00742153"/>
    <w:rsid w:val="0074309F"/>
    <w:rsid w:val="007430E5"/>
    <w:rsid w:val="00743203"/>
    <w:rsid w:val="00743738"/>
    <w:rsid w:val="00743A11"/>
    <w:rsid w:val="007440B8"/>
    <w:rsid w:val="0074437A"/>
    <w:rsid w:val="00745216"/>
    <w:rsid w:val="007454E1"/>
    <w:rsid w:val="00745E5A"/>
    <w:rsid w:val="00747D9F"/>
    <w:rsid w:val="00751C03"/>
    <w:rsid w:val="0075213E"/>
    <w:rsid w:val="00752D7F"/>
    <w:rsid w:val="0075304D"/>
    <w:rsid w:val="007530D6"/>
    <w:rsid w:val="00753508"/>
    <w:rsid w:val="00753F07"/>
    <w:rsid w:val="00753F53"/>
    <w:rsid w:val="00754503"/>
    <w:rsid w:val="00754C7E"/>
    <w:rsid w:val="00754CE3"/>
    <w:rsid w:val="00755CEF"/>
    <w:rsid w:val="00755DA8"/>
    <w:rsid w:val="0075680A"/>
    <w:rsid w:val="00756820"/>
    <w:rsid w:val="00756AED"/>
    <w:rsid w:val="007570FF"/>
    <w:rsid w:val="0075716F"/>
    <w:rsid w:val="00757177"/>
    <w:rsid w:val="0075774A"/>
    <w:rsid w:val="00760776"/>
    <w:rsid w:val="00760C7D"/>
    <w:rsid w:val="00761116"/>
    <w:rsid w:val="007626B7"/>
    <w:rsid w:val="0076319E"/>
    <w:rsid w:val="00763950"/>
    <w:rsid w:val="0076447E"/>
    <w:rsid w:val="00764E44"/>
    <w:rsid w:val="007653CF"/>
    <w:rsid w:val="007657AD"/>
    <w:rsid w:val="00765B2F"/>
    <w:rsid w:val="00766C84"/>
    <w:rsid w:val="00766DBE"/>
    <w:rsid w:val="00767627"/>
    <w:rsid w:val="007677B9"/>
    <w:rsid w:val="00767C04"/>
    <w:rsid w:val="0077055E"/>
    <w:rsid w:val="00770883"/>
    <w:rsid w:val="00770AF4"/>
    <w:rsid w:val="007732F8"/>
    <w:rsid w:val="00773A33"/>
    <w:rsid w:val="00773B94"/>
    <w:rsid w:val="0077414E"/>
    <w:rsid w:val="00774BC4"/>
    <w:rsid w:val="0077518C"/>
    <w:rsid w:val="00775226"/>
    <w:rsid w:val="007755FD"/>
    <w:rsid w:val="00775892"/>
    <w:rsid w:val="00776296"/>
    <w:rsid w:val="00776CEF"/>
    <w:rsid w:val="00776D41"/>
    <w:rsid w:val="00777D04"/>
    <w:rsid w:val="00777D37"/>
    <w:rsid w:val="00777F27"/>
    <w:rsid w:val="007805BD"/>
    <w:rsid w:val="007809C0"/>
    <w:rsid w:val="00781427"/>
    <w:rsid w:val="00782039"/>
    <w:rsid w:val="0078217F"/>
    <w:rsid w:val="0078239A"/>
    <w:rsid w:val="0078292A"/>
    <w:rsid w:val="00782AAB"/>
    <w:rsid w:val="00782B99"/>
    <w:rsid w:val="00782D2B"/>
    <w:rsid w:val="0078396A"/>
    <w:rsid w:val="00783CC8"/>
    <w:rsid w:val="00783F0E"/>
    <w:rsid w:val="007841E1"/>
    <w:rsid w:val="0078525B"/>
    <w:rsid w:val="007852A6"/>
    <w:rsid w:val="007854F3"/>
    <w:rsid w:val="00786218"/>
    <w:rsid w:val="0078633B"/>
    <w:rsid w:val="0078697D"/>
    <w:rsid w:val="007869AF"/>
    <w:rsid w:val="00786AD4"/>
    <w:rsid w:val="00787179"/>
    <w:rsid w:val="00787FD2"/>
    <w:rsid w:val="00790767"/>
    <w:rsid w:val="00791154"/>
    <w:rsid w:val="007929AE"/>
    <w:rsid w:val="00792FDF"/>
    <w:rsid w:val="0079361C"/>
    <w:rsid w:val="00793715"/>
    <w:rsid w:val="007937B6"/>
    <w:rsid w:val="00793AA3"/>
    <w:rsid w:val="007940A4"/>
    <w:rsid w:val="00794357"/>
    <w:rsid w:val="00794A20"/>
    <w:rsid w:val="00794E21"/>
    <w:rsid w:val="00794E65"/>
    <w:rsid w:val="0079513F"/>
    <w:rsid w:val="007953F7"/>
    <w:rsid w:val="0079556A"/>
    <w:rsid w:val="0079589D"/>
    <w:rsid w:val="00795A31"/>
    <w:rsid w:val="00796648"/>
    <w:rsid w:val="00796898"/>
    <w:rsid w:val="00797091"/>
    <w:rsid w:val="007971B6"/>
    <w:rsid w:val="00797C94"/>
    <w:rsid w:val="00797F0C"/>
    <w:rsid w:val="00797F4E"/>
    <w:rsid w:val="007A02F8"/>
    <w:rsid w:val="007A0E67"/>
    <w:rsid w:val="007A166F"/>
    <w:rsid w:val="007A1C6A"/>
    <w:rsid w:val="007A2191"/>
    <w:rsid w:val="007A26A8"/>
    <w:rsid w:val="007A30A5"/>
    <w:rsid w:val="007A30A9"/>
    <w:rsid w:val="007A30EE"/>
    <w:rsid w:val="007A36A5"/>
    <w:rsid w:val="007A383E"/>
    <w:rsid w:val="007A3B7C"/>
    <w:rsid w:val="007A4360"/>
    <w:rsid w:val="007A4A25"/>
    <w:rsid w:val="007A5287"/>
    <w:rsid w:val="007A562B"/>
    <w:rsid w:val="007A5F6E"/>
    <w:rsid w:val="007A606B"/>
    <w:rsid w:val="007A654F"/>
    <w:rsid w:val="007A696B"/>
    <w:rsid w:val="007A6C0B"/>
    <w:rsid w:val="007A7E14"/>
    <w:rsid w:val="007B0102"/>
    <w:rsid w:val="007B017F"/>
    <w:rsid w:val="007B020E"/>
    <w:rsid w:val="007B036A"/>
    <w:rsid w:val="007B03FD"/>
    <w:rsid w:val="007B05E8"/>
    <w:rsid w:val="007B0DFA"/>
    <w:rsid w:val="007B0F98"/>
    <w:rsid w:val="007B13D5"/>
    <w:rsid w:val="007B16FA"/>
    <w:rsid w:val="007B1834"/>
    <w:rsid w:val="007B19DD"/>
    <w:rsid w:val="007B1F0C"/>
    <w:rsid w:val="007B1F73"/>
    <w:rsid w:val="007B23F0"/>
    <w:rsid w:val="007B258A"/>
    <w:rsid w:val="007B2A72"/>
    <w:rsid w:val="007B3B18"/>
    <w:rsid w:val="007B3C49"/>
    <w:rsid w:val="007B3DF3"/>
    <w:rsid w:val="007B4E66"/>
    <w:rsid w:val="007B5BA6"/>
    <w:rsid w:val="007B6762"/>
    <w:rsid w:val="007B6BF5"/>
    <w:rsid w:val="007B712F"/>
    <w:rsid w:val="007B7408"/>
    <w:rsid w:val="007B7A58"/>
    <w:rsid w:val="007C09A6"/>
    <w:rsid w:val="007C0A9D"/>
    <w:rsid w:val="007C1AEA"/>
    <w:rsid w:val="007C2055"/>
    <w:rsid w:val="007C29DC"/>
    <w:rsid w:val="007C2B30"/>
    <w:rsid w:val="007C2CC4"/>
    <w:rsid w:val="007C3396"/>
    <w:rsid w:val="007C4D69"/>
    <w:rsid w:val="007C54D2"/>
    <w:rsid w:val="007C5986"/>
    <w:rsid w:val="007C5A81"/>
    <w:rsid w:val="007C754C"/>
    <w:rsid w:val="007C7666"/>
    <w:rsid w:val="007C7FB3"/>
    <w:rsid w:val="007D0C50"/>
    <w:rsid w:val="007D1EEF"/>
    <w:rsid w:val="007D1FDB"/>
    <w:rsid w:val="007D25AA"/>
    <w:rsid w:val="007D2C72"/>
    <w:rsid w:val="007D2DC6"/>
    <w:rsid w:val="007D30FC"/>
    <w:rsid w:val="007D31A0"/>
    <w:rsid w:val="007D3834"/>
    <w:rsid w:val="007D396B"/>
    <w:rsid w:val="007D3B5D"/>
    <w:rsid w:val="007D4167"/>
    <w:rsid w:val="007D4264"/>
    <w:rsid w:val="007D49EE"/>
    <w:rsid w:val="007D4B78"/>
    <w:rsid w:val="007D4C89"/>
    <w:rsid w:val="007D4E8C"/>
    <w:rsid w:val="007D51D6"/>
    <w:rsid w:val="007D5FC6"/>
    <w:rsid w:val="007D642B"/>
    <w:rsid w:val="007D65CF"/>
    <w:rsid w:val="007D7FF9"/>
    <w:rsid w:val="007E0965"/>
    <w:rsid w:val="007E0C35"/>
    <w:rsid w:val="007E0DD4"/>
    <w:rsid w:val="007E0E54"/>
    <w:rsid w:val="007E1084"/>
    <w:rsid w:val="007E2764"/>
    <w:rsid w:val="007E2A9E"/>
    <w:rsid w:val="007E2E3B"/>
    <w:rsid w:val="007E2F15"/>
    <w:rsid w:val="007E2F95"/>
    <w:rsid w:val="007E3552"/>
    <w:rsid w:val="007E36CD"/>
    <w:rsid w:val="007E4280"/>
    <w:rsid w:val="007E43F0"/>
    <w:rsid w:val="007E4AF7"/>
    <w:rsid w:val="007E64FA"/>
    <w:rsid w:val="007E65AD"/>
    <w:rsid w:val="007E6BA0"/>
    <w:rsid w:val="007E6E62"/>
    <w:rsid w:val="007E73D5"/>
    <w:rsid w:val="007F01AD"/>
    <w:rsid w:val="007F0D75"/>
    <w:rsid w:val="007F0DFE"/>
    <w:rsid w:val="007F10D2"/>
    <w:rsid w:val="007F11B1"/>
    <w:rsid w:val="007F13DF"/>
    <w:rsid w:val="007F1B3C"/>
    <w:rsid w:val="007F1D3D"/>
    <w:rsid w:val="007F22CC"/>
    <w:rsid w:val="007F24F7"/>
    <w:rsid w:val="007F2557"/>
    <w:rsid w:val="007F3119"/>
    <w:rsid w:val="007F394A"/>
    <w:rsid w:val="007F410C"/>
    <w:rsid w:val="007F433D"/>
    <w:rsid w:val="007F48C1"/>
    <w:rsid w:val="007F4911"/>
    <w:rsid w:val="007F49A5"/>
    <w:rsid w:val="007F4A62"/>
    <w:rsid w:val="007F5141"/>
    <w:rsid w:val="007F58B4"/>
    <w:rsid w:val="007F5A09"/>
    <w:rsid w:val="007F5B21"/>
    <w:rsid w:val="007F6C47"/>
    <w:rsid w:val="007F7A66"/>
    <w:rsid w:val="008008E3"/>
    <w:rsid w:val="00800EC5"/>
    <w:rsid w:val="00801600"/>
    <w:rsid w:val="008016A3"/>
    <w:rsid w:val="008024FD"/>
    <w:rsid w:val="0080265B"/>
    <w:rsid w:val="0080285D"/>
    <w:rsid w:val="008029EA"/>
    <w:rsid w:val="008030E2"/>
    <w:rsid w:val="00803F23"/>
    <w:rsid w:val="008041D3"/>
    <w:rsid w:val="008049BE"/>
    <w:rsid w:val="00804C33"/>
    <w:rsid w:val="00804DA5"/>
    <w:rsid w:val="00804E95"/>
    <w:rsid w:val="008054A8"/>
    <w:rsid w:val="0080553D"/>
    <w:rsid w:val="00805707"/>
    <w:rsid w:val="00805A36"/>
    <w:rsid w:val="00805ADC"/>
    <w:rsid w:val="00805FF5"/>
    <w:rsid w:val="008067A3"/>
    <w:rsid w:val="00806FBA"/>
    <w:rsid w:val="00807683"/>
    <w:rsid w:val="008079BA"/>
    <w:rsid w:val="00810640"/>
    <w:rsid w:val="00810668"/>
    <w:rsid w:val="008106AE"/>
    <w:rsid w:val="0081082E"/>
    <w:rsid w:val="00810CD7"/>
    <w:rsid w:val="0081124B"/>
    <w:rsid w:val="008129E7"/>
    <w:rsid w:val="00812CA5"/>
    <w:rsid w:val="00813263"/>
    <w:rsid w:val="008132DC"/>
    <w:rsid w:val="008136A1"/>
    <w:rsid w:val="00813B7E"/>
    <w:rsid w:val="0081413C"/>
    <w:rsid w:val="0081443A"/>
    <w:rsid w:val="00814739"/>
    <w:rsid w:val="0081482F"/>
    <w:rsid w:val="008150A8"/>
    <w:rsid w:val="0081590F"/>
    <w:rsid w:val="008160F8"/>
    <w:rsid w:val="0081676C"/>
    <w:rsid w:val="008167F9"/>
    <w:rsid w:val="00816E23"/>
    <w:rsid w:val="00816FC2"/>
    <w:rsid w:val="0081708B"/>
    <w:rsid w:val="0081787B"/>
    <w:rsid w:val="008201C1"/>
    <w:rsid w:val="008215F3"/>
    <w:rsid w:val="00821625"/>
    <w:rsid w:val="008218DA"/>
    <w:rsid w:val="00821A0D"/>
    <w:rsid w:val="00821B7F"/>
    <w:rsid w:val="00821ED6"/>
    <w:rsid w:val="0082212A"/>
    <w:rsid w:val="0082231F"/>
    <w:rsid w:val="00822986"/>
    <w:rsid w:val="00822AE6"/>
    <w:rsid w:val="00822CDA"/>
    <w:rsid w:val="008233B8"/>
    <w:rsid w:val="008238A5"/>
    <w:rsid w:val="0082421F"/>
    <w:rsid w:val="00824540"/>
    <w:rsid w:val="00824823"/>
    <w:rsid w:val="00824CB2"/>
    <w:rsid w:val="0082669B"/>
    <w:rsid w:val="00826EB3"/>
    <w:rsid w:val="00827330"/>
    <w:rsid w:val="0082744A"/>
    <w:rsid w:val="00827AED"/>
    <w:rsid w:val="00827B3F"/>
    <w:rsid w:val="00830813"/>
    <w:rsid w:val="0083183D"/>
    <w:rsid w:val="008318EB"/>
    <w:rsid w:val="008319ED"/>
    <w:rsid w:val="00831A3E"/>
    <w:rsid w:val="00831FEA"/>
    <w:rsid w:val="008328DC"/>
    <w:rsid w:val="0083411A"/>
    <w:rsid w:val="0083422C"/>
    <w:rsid w:val="00834367"/>
    <w:rsid w:val="0083452E"/>
    <w:rsid w:val="0083465A"/>
    <w:rsid w:val="00834B07"/>
    <w:rsid w:val="00834C41"/>
    <w:rsid w:val="00834CDA"/>
    <w:rsid w:val="008356CB"/>
    <w:rsid w:val="008363C0"/>
    <w:rsid w:val="0083641E"/>
    <w:rsid w:val="0083651B"/>
    <w:rsid w:val="00836593"/>
    <w:rsid w:val="00836A9B"/>
    <w:rsid w:val="00836B0F"/>
    <w:rsid w:val="008370DE"/>
    <w:rsid w:val="00837D5B"/>
    <w:rsid w:val="00840AC2"/>
    <w:rsid w:val="00841EED"/>
    <w:rsid w:val="00842273"/>
    <w:rsid w:val="008429F8"/>
    <w:rsid w:val="00842E07"/>
    <w:rsid w:val="008430D4"/>
    <w:rsid w:val="008434B8"/>
    <w:rsid w:val="00843BC7"/>
    <w:rsid w:val="00843C15"/>
    <w:rsid w:val="00844A4E"/>
    <w:rsid w:val="00844BAC"/>
    <w:rsid w:val="008454B0"/>
    <w:rsid w:val="00845BC6"/>
    <w:rsid w:val="00845D0F"/>
    <w:rsid w:val="0084664B"/>
    <w:rsid w:val="00847568"/>
    <w:rsid w:val="008476FE"/>
    <w:rsid w:val="008479F4"/>
    <w:rsid w:val="00847B23"/>
    <w:rsid w:val="00847EA2"/>
    <w:rsid w:val="0085015E"/>
    <w:rsid w:val="00851299"/>
    <w:rsid w:val="00851C4E"/>
    <w:rsid w:val="00852242"/>
    <w:rsid w:val="00852308"/>
    <w:rsid w:val="008524E6"/>
    <w:rsid w:val="00852662"/>
    <w:rsid w:val="00852DC2"/>
    <w:rsid w:val="008530DD"/>
    <w:rsid w:val="008537CC"/>
    <w:rsid w:val="008539CC"/>
    <w:rsid w:val="00853D7A"/>
    <w:rsid w:val="008542AD"/>
    <w:rsid w:val="008543E8"/>
    <w:rsid w:val="00854AA3"/>
    <w:rsid w:val="00854F38"/>
    <w:rsid w:val="0085647A"/>
    <w:rsid w:val="008565EF"/>
    <w:rsid w:val="00856ABB"/>
    <w:rsid w:val="00857467"/>
    <w:rsid w:val="0085785B"/>
    <w:rsid w:val="00857AE5"/>
    <w:rsid w:val="00860098"/>
    <w:rsid w:val="00860551"/>
    <w:rsid w:val="00860794"/>
    <w:rsid w:val="00860B74"/>
    <w:rsid w:val="00860DE3"/>
    <w:rsid w:val="008618AE"/>
    <w:rsid w:val="008622AC"/>
    <w:rsid w:val="008623AA"/>
    <w:rsid w:val="0086281E"/>
    <w:rsid w:val="0086396C"/>
    <w:rsid w:val="00863F39"/>
    <w:rsid w:val="00864354"/>
    <w:rsid w:val="00864476"/>
    <w:rsid w:val="00864813"/>
    <w:rsid w:val="0086488D"/>
    <w:rsid w:val="0086489A"/>
    <w:rsid w:val="00864F3B"/>
    <w:rsid w:val="0086597A"/>
    <w:rsid w:val="00865BD8"/>
    <w:rsid w:val="008662FF"/>
    <w:rsid w:val="00866D9F"/>
    <w:rsid w:val="008670AD"/>
    <w:rsid w:val="0086790C"/>
    <w:rsid w:val="00867D43"/>
    <w:rsid w:val="00870132"/>
    <w:rsid w:val="0087053F"/>
    <w:rsid w:val="0087057F"/>
    <w:rsid w:val="00870660"/>
    <w:rsid w:val="00870BF0"/>
    <w:rsid w:val="008712F4"/>
    <w:rsid w:val="008713CD"/>
    <w:rsid w:val="00871D3C"/>
    <w:rsid w:val="00871EF9"/>
    <w:rsid w:val="0087231A"/>
    <w:rsid w:val="008724C2"/>
    <w:rsid w:val="008728DC"/>
    <w:rsid w:val="00874D1E"/>
    <w:rsid w:val="0087570D"/>
    <w:rsid w:val="008758EC"/>
    <w:rsid w:val="00875A11"/>
    <w:rsid w:val="00876263"/>
    <w:rsid w:val="008779D1"/>
    <w:rsid w:val="00877D19"/>
    <w:rsid w:val="00881B7E"/>
    <w:rsid w:val="008821B3"/>
    <w:rsid w:val="008824E7"/>
    <w:rsid w:val="008831D4"/>
    <w:rsid w:val="00884283"/>
    <w:rsid w:val="00884BBF"/>
    <w:rsid w:val="00884FAD"/>
    <w:rsid w:val="0088538F"/>
    <w:rsid w:val="00885B74"/>
    <w:rsid w:val="0088613A"/>
    <w:rsid w:val="00886724"/>
    <w:rsid w:val="0088698A"/>
    <w:rsid w:val="008873A4"/>
    <w:rsid w:val="00887EEE"/>
    <w:rsid w:val="00887FC8"/>
    <w:rsid w:val="008904AE"/>
    <w:rsid w:val="00890F6A"/>
    <w:rsid w:val="00891214"/>
    <w:rsid w:val="00891387"/>
    <w:rsid w:val="00891663"/>
    <w:rsid w:val="008918BF"/>
    <w:rsid w:val="008925F4"/>
    <w:rsid w:val="008928BE"/>
    <w:rsid w:val="00892CC5"/>
    <w:rsid w:val="00892D9C"/>
    <w:rsid w:val="00892ED9"/>
    <w:rsid w:val="008933EE"/>
    <w:rsid w:val="0089341E"/>
    <w:rsid w:val="008937DB"/>
    <w:rsid w:val="008943E7"/>
    <w:rsid w:val="00895E57"/>
    <w:rsid w:val="008960DC"/>
    <w:rsid w:val="008966DF"/>
    <w:rsid w:val="00896CFE"/>
    <w:rsid w:val="00896E71"/>
    <w:rsid w:val="00897966"/>
    <w:rsid w:val="008A066D"/>
    <w:rsid w:val="008A0FC8"/>
    <w:rsid w:val="008A1874"/>
    <w:rsid w:val="008A2177"/>
    <w:rsid w:val="008A219A"/>
    <w:rsid w:val="008A29AD"/>
    <w:rsid w:val="008A2FD9"/>
    <w:rsid w:val="008A3FB8"/>
    <w:rsid w:val="008A403D"/>
    <w:rsid w:val="008A5299"/>
    <w:rsid w:val="008A53A7"/>
    <w:rsid w:val="008A6E28"/>
    <w:rsid w:val="008A6EC7"/>
    <w:rsid w:val="008A7439"/>
    <w:rsid w:val="008A74E0"/>
    <w:rsid w:val="008A7C18"/>
    <w:rsid w:val="008B053F"/>
    <w:rsid w:val="008B0B2C"/>
    <w:rsid w:val="008B1560"/>
    <w:rsid w:val="008B174F"/>
    <w:rsid w:val="008B2336"/>
    <w:rsid w:val="008B2ADF"/>
    <w:rsid w:val="008B3C16"/>
    <w:rsid w:val="008B4391"/>
    <w:rsid w:val="008B45E5"/>
    <w:rsid w:val="008B4F9F"/>
    <w:rsid w:val="008B51AB"/>
    <w:rsid w:val="008B5DB3"/>
    <w:rsid w:val="008B63BD"/>
    <w:rsid w:val="008B7231"/>
    <w:rsid w:val="008B7AE7"/>
    <w:rsid w:val="008C01E2"/>
    <w:rsid w:val="008C08BE"/>
    <w:rsid w:val="008C0CFB"/>
    <w:rsid w:val="008C1C9E"/>
    <w:rsid w:val="008C1E84"/>
    <w:rsid w:val="008C254E"/>
    <w:rsid w:val="008C26B8"/>
    <w:rsid w:val="008C26C1"/>
    <w:rsid w:val="008C279E"/>
    <w:rsid w:val="008C2C49"/>
    <w:rsid w:val="008C2D20"/>
    <w:rsid w:val="008C3534"/>
    <w:rsid w:val="008C372B"/>
    <w:rsid w:val="008C3A88"/>
    <w:rsid w:val="008C3C16"/>
    <w:rsid w:val="008C4EBD"/>
    <w:rsid w:val="008C4F5B"/>
    <w:rsid w:val="008C5160"/>
    <w:rsid w:val="008C6C27"/>
    <w:rsid w:val="008C6CDB"/>
    <w:rsid w:val="008D04AF"/>
    <w:rsid w:val="008D13BA"/>
    <w:rsid w:val="008D1BCC"/>
    <w:rsid w:val="008D2397"/>
    <w:rsid w:val="008D2924"/>
    <w:rsid w:val="008D2DBD"/>
    <w:rsid w:val="008D35BB"/>
    <w:rsid w:val="008D3649"/>
    <w:rsid w:val="008D4260"/>
    <w:rsid w:val="008D46CD"/>
    <w:rsid w:val="008D4860"/>
    <w:rsid w:val="008D500C"/>
    <w:rsid w:val="008D501E"/>
    <w:rsid w:val="008D55AE"/>
    <w:rsid w:val="008D5E73"/>
    <w:rsid w:val="008D62D6"/>
    <w:rsid w:val="008D63FB"/>
    <w:rsid w:val="008D6C2A"/>
    <w:rsid w:val="008D6D38"/>
    <w:rsid w:val="008D79D4"/>
    <w:rsid w:val="008E0255"/>
    <w:rsid w:val="008E0AFB"/>
    <w:rsid w:val="008E0BAA"/>
    <w:rsid w:val="008E1327"/>
    <w:rsid w:val="008E19AB"/>
    <w:rsid w:val="008E2B37"/>
    <w:rsid w:val="008E3019"/>
    <w:rsid w:val="008E3AAD"/>
    <w:rsid w:val="008E3D5D"/>
    <w:rsid w:val="008E4061"/>
    <w:rsid w:val="008E5290"/>
    <w:rsid w:val="008E5913"/>
    <w:rsid w:val="008E5C08"/>
    <w:rsid w:val="008E620D"/>
    <w:rsid w:val="008E6F60"/>
    <w:rsid w:val="008E7244"/>
    <w:rsid w:val="008E72D6"/>
    <w:rsid w:val="008E73DC"/>
    <w:rsid w:val="008E7690"/>
    <w:rsid w:val="008E7EC3"/>
    <w:rsid w:val="008F086E"/>
    <w:rsid w:val="008F0EF9"/>
    <w:rsid w:val="008F1815"/>
    <w:rsid w:val="008F202B"/>
    <w:rsid w:val="008F2920"/>
    <w:rsid w:val="008F2CF7"/>
    <w:rsid w:val="008F2E6B"/>
    <w:rsid w:val="008F3086"/>
    <w:rsid w:val="008F3C1C"/>
    <w:rsid w:val="008F45C7"/>
    <w:rsid w:val="008F46A1"/>
    <w:rsid w:val="008F47B1"/>
    <w:rsid w:val="008F4E23"/>
    <w:rsid w:val="008F4E88"/>
    <w:rsid w:val="008F53F3"/>
    <w:rsid w:val="008F669E"/>
    <w:rsid w:val="008F6A82"/>
    <w:rsid w:val="008F6B10"/>
    <w:rsid w:val="008F6BFF"/>
    <w:rsid w:val="008F73C9"/>
    <w:rsid w:val="0090004C"/>
    <w:rsid w:val="00900595"/>
    <w:rsid w:val="00900616"/>
    <w:rsid w:val="0090153E"/>
    <w:rsid w:val="0090166C"/>
    <w:rsid w:val="009016BC"/>
    <w:rsid w:val="00901BF0"/>
    <w:rsid w:val="0090318C"/>
    <w:rsid w:val="00903CC7"/>
    <w:rsid w:val="00903D5B"/>
    <w:rsid w:val="00904835"/>
    <w:rsid w:val="00904A6E"/>
    <w:rsid w:val="00904B5F"/>
    <w:rsid w:val="009053A4"/>
    <w:rsid w:val="00905ABB"/>
    <w:rsid w:val="0090650E"/>
    <w:rsid w:val="00907538"/>
    <w:rsid w:val="00907C5E"/>
    <w:rsid w:val="00907CE4"/>
    <w:rsid w:val="00907E3C"/>
    <w:rsid w:val="009102EB"/>
    <w:rsid w:val="009109D2"/>
    <w:rsid w:val="00910EB5"/>
    <w:rsid w:val="00911268"/>
    <w:rsid w:val="0091133C"/>
    <w:rsid w:val="00911FA6"/>
    <w:rsid w:val="00912167"/>
    <w:rsid w:val="00912A1D"/>
    <w:rsid w:val="00912A31"/>
    <w:rsid w:val="00912B37"/>
    <w:rsid w:val="00913941"/>
    <w:rsid w:val="00913DA2"/>
    <w:rsid w:val="00913EF0"/>
    <w:rsid w:val="009145FF"/>
    <w:rsid w:val="009163E1"/>
    <w:rsid w:val="0091653E"/>
    <w:rsid w:val="00916617"/>
    <w:rsid w:val="00916665"/>
    <w:rsid w:val="00916793"/>
    <w:rsid w:val="00916982"/>
    <w:rsid w:val="00916A16"/>
    <w:rsid w:val="00917355"/>
    <w:rsid w:val="00917A49"/>
    <w:rsid w:val="00917B51"/>
    <w:rsid w:val="0092043D"/>
    <w:rsid w:val="009205EB"/>
    <w:rsid w:val="009207CB"/>
    <w:rsid w:val="009209A2"/>
    <w:rsid w:val="00920B8E"/>
    <w:rsid w:val="00920CF4"/>
    <w:rsid w:val="0092198D"/>
    <w:rsid w:val="00922192"/>
    <w:rsid w:val="00922333"/>
    <w:rsid w:val="009227A5"/>
    <w:rsid w:val="0092407A"/>
    <w:rsid w:val="00924AA3"/>
    <w:rsid w:val="00924BDD"/>
    <w:rsid w:val="00924ED7"/>
    <w:rsid w:val="00925A4E"/>
    <w:rsid w:val="00925D2E"/>
    <w:rsid w:val="00926006"/>
    <w:rsid w:val="00926034"/>
    <w:rsid w:val="00926395"/>
    <w:rsid w:val="00926A98"/>
    <w:rsid w:val="00926BAF"/>
    <w:rsid w:val="00926BE0"/>
    <w:rsid w:val="00931474"/>
    <w:rsid w:val="00931495"/>
    <w:rsid w:val="0093175F"/>
    <w:rsid w:val="009319D0"/>
    <w:rsid w:val="00931F4A"/>
    <w:rsid w:val="009320A2"/>
    <w:rsid w:val="009324CD"/>
    <w:rsid w:val="009332E0"/>
    <w:rsid w:val="00933B62"/>
    <w:rsid w:val="00933E90"/>
    <w:rsid w:val="00933F9E"/>
    <w:rsid w:val="00934107"/>
    <w:rsid w:val="00934577"/>
    <w:rsid w:val="009348CA"/>
    <w:rsid w:val="00934C4E"/>
    <w:rsid w:val="00934FCF"/>
    <w:rsid w:val="009353C4"/>
    <w:rsid w:val="00935A3D"/>
    <w:rsid w:val="00935AC6"/>
    <w:rsid w:val="00935D12"/>
    <w:rsid w:val="00935E7B"/>
    <w:rsid w:val="00936B59"/>
    <w:rsid w:val="0093727B"/>
    <w:rsid w:val="00937431"/>
    <w:rsid w:val="00937745"/>
    <w:rsid w:val="009400B0"/>
    <w:rsid w:val="00940E48"/>
    <w:rsid w:val="00940EF5"/>
    <w:rsid w:val="0094123C"/>
    <w:rsid w:val="009413F7"/>
    <w:rsid w:val="009424B1"/>
    <w:rsid w:val="009429C6"/>
    <w:rsid w:val="009439D5"/>
    <w:rsid w:val="009441ED"/>
    <w:rsid w:val="009444A9"/>
    <w:rsid w:val="00944AD7"/>
    <w:rsid w:val="00944F8C"/>
    <w:rsid w:val="009453E1"/>
    <w:rsid w:val="0094541B"/>
    <w:rsid w:val="0094650B"/>
    <w:rsid w:val="009467CC"/>
    <w:rsid w:val="00946FD3"/>
    <w:rsid w:val="009470F9"/>
    <w:rsid w:val="009471C6"/>
    <w:rsid w:val="00947AB4"/>
    <w:rsid w:val="00947C49"/>
    <w:rsid w:val="009502E3"/>
    <w:rsid w:val="00950AEB"/>
    <w:rsid w:val="009517ED"/>
    <w:rsid w:val="009519B6"/>
    <w:rsid w:val="00951DBF"/>
    <w:rsid w:val="00952642"/>
    <w:rsid w:val="00952C8C"/>
    <w:rsid w:val="009534B5"/>
    <w:rsid w:val="0095400F"/>
    <w:rsid w:val="0095447F"/>
    <w:rsid w:val="009545C1"/>
    <w:rsid w:val="00954B67"/>
    <w:rsid w:val="00955AE5"/>
    <w:rsid w:val="00956840"/>
    <w:rsid w:val="0095695E"/>
    <w:rsid w:val="009571FD"/>
    <w:rsid w:val="00957230"/>
    <w:rsid w:val="00957336"/>
    <w:rsid w:val="00957539"/>
    <w:rsid w:val="00957B0F"/>
    <w:rsid w:val="0096004F"/>
    <w:rsid w:val="00960188"/>
    <w:rsid w:val="0096068A"/>
    <w:rsid w:val="00960A8A"/>
    <w:rsid w:val="00961937"/>
    <w:rsid w:val="009625EF"/>
    <w:rsid w:val="0096393A"/>
    <w:rsid w:val="00963BCA"/>
    <w:rsid w:val="00964E71"/>
    <w:rsid w:val="009656FC"/>
    <w:rsid w:val="009657C9"/>
    <w:rsid w:val="00965CA5"/>
    <w:rsid w:val="00966346"/>
    <w:rsid w:val="00966D45"/>
    <w:rsid w:val="0096791C"/>
    <w:rsid w:val="0097059C"/>
    <w:rsid w:val="009709D7"/>
    <w:rsid w:val="00970BB0"/>
    <w:rsid w:val="009716B9"/>
    <w:rsid w:val="00972104"/>
    <w:rsid w:val="00972BED"/>
    <w:rsid w:val="00972D17"/>
    <w:rsid w:val="009731E3"/>
    <w:rsid w:val="00973880"/>
    <w:rsid w:val="00973D2D"/>
    <w:rsid w:val="00974B45"/>
    <w:rsid w:val="009757E3"/>
    <w:rsid w:val="009758A0"/>
    <w:rsid w:val="00975C6D"/>
    <w:rsid w:val="00975D1A"/>
    <w:rsid w:val="0097611B"/>
    <w:rsid w:val="0097683F"/>
    <w:rsid w:val="00976CA2"/>
    <w:rsid w:val="00976E50"/>
    <w:rsid w:val="009772D5"/>
    <w:rsid w:val="00977F40"/>
    <w:rsid w:val="00980333"/>
    <w:rsid w:val="0098062C"/>
    <w:rsid w:val="0098064F"/>
    <w:rsid w:val="00980CC5"/>
    <w:rsid w:val="00981374"/>
    <w:rsid w:val="0098146C"/>
    <w:rsid w:val="0098149E"/>
    <w:rsid w:val="00981727"/>
    <w:rsid w:val="00981E35"/>
    <w:rsid w:val="0098329F"/>
    <w:rsid w:val="009833DD"/>
    <w:rsid w:val="00983735"/>
    <w:rsid w:val="0098380E"/>
    <w:rsid w:val="00983824"/>
    <w:rsid w:val="009841A3"/>
    <w:rsid w:val="00984768"/>
    <w:rsid w:val="009852B6"/>
    <w:rsid w:val="0098599D"/>
    <w:rsid w:val="0098696C"/>
    <w:rsid w:val="00987B03"/>
    <w:rsid w:val="009901FC"/>
    <w:rsid w:val="009912CD"/>
    <w:rsid w:val="009913AC"/>
    <w:rsid w:val="00991C68"/>
    <w:rsid w:val="00992306"/>
    <w:rsid w:val="00992327"/>
    <w:rsid w:val="00994E2B"/>
    <w:rsid w:val="0099536F"/>
    <w:rsid w:val="00995CA6"/>
    <w:rsid w:val="00995DE7"/>
    <w:rsid w:val="00995E05"/>
    <w:rsid w:val="0099666C"/>
    <w:rsid w:val="00996DFB"/>
    <w:rsid w:val="00996E06"/>
    <w:rsid w:val="009A0458"/>
    <w:rsid w:val="009A065C"/>
    <w:rsid w:val="009A0731"/>
    <w:rsid w:val="009A0DC5"/>
    <w:rsid w:val="009A1EA8"/>
    <w:rsid w:val="009A2046"/>
    <w:rsid w:val="009A2372"/>
    <w:rsid w:val="009A28CE"/>
    <w:rsid w:val="009A3C78"/>
    <w:rsid w:val="009A461B"/>
    <w:rsid w:val="009A4A2F"/>
    <w:rsid w:val="009A6E94"/>
    <w:rsid w:val="009A74DC"/>
    <w:rsid w:val="009B0311"/>
    <w:rsid w:val="009B0755"/>
    <w:rsid w:val="009B083A"/>
    <w:rsid w:val="009B086D"/>
    <w:rsid w:val="009B1468"/>
    <w:rsid w:val="009B239A"/>
    <w:rsid w:val="009B2483"/>
    <w:rsid w:val="009B2A82"/>
    <w:rsid w:val="009B2ADF"/>
    <w:rsid w:val="009B2CAB"/>
    <w:rsid w:val="009B371E"/>
    <w:rsid w:val="009B3977"/>
    <w:rsid w:val="009B4078"/>
    <w:rsid w:val="009B507F"/>
    <w:rsid w:val="009B50FF"/>
    <w:rsid w:val="009B5148"/>
    <w:rsid w:val="009B5A2B"/>
    <w:rsid w:val="009B6B94"/>
    <w:rsid w:val="009B6E46"/>
    <w:rsid w:val="009B751B"/>
    <w:rsid w:val="009B7AD7"/>
    <w:rsid w:val="009C0AFD"/>
    <w:rsid w:val="009C132B"/>
    <w:rsid w:val="009C2E5B"/>
    <w:rsid w:val="009C3442"/>
    <w:rsid w:val="009C3BB3"/>
    <w:rsid w:val="009C40B9"/>
    <w:rsid w:val="009C4CAF"/>
    <w:rsid w:val="009C4F08"/>
    <w:rsid w:val="009C4FA0"/>
    <w:rsid w:val="009C56B8"/>
    <w:rsid w:val="009C587D"/>
    <w:rsid w:val="009C6420"/>
    <w:rsid w:val="009C675E"/>
    <w:rsid w:val="009C6930"/>
    <w:rsid w:val="009C6B76"/>
    <w:rsid w:val="009C6D04"/>
    <w:rsid w:val="009C7240"/>
    <w:rsid w:val="009C7353"/>
    <w:rsid w:val="009C7727"/>
    <w:rsid w:val="009C785F"/>
    <w:rsid w:val="009D0214"/>
    <w:rsid w:val="009D0F4C"/>
    <w:rsid w:val="009D18FA"/>
    <w:rsid w:val="009D1A0D"/>
    <w:rsid w:val="009D2ACF"/>
    <w:rsid w:val="009D2D2B"/>
    <w:rsid w:val="009D31F8"/>
    <w:rsid w:val="009D3829"/>
    <w:rsid w:val="009D3B09"/>
    <w:rsid w:val="009D3F2D"/>
    <w:rsid w:val="009D3FA8"/>
    <w:rsid w:val="009D4260"/>
    <w:rsid w:val="009D43FB"/>
    <w:rsid w:val="009D4D8B"/>
    <w:rsid w:val="009D5D6D"/>
    <w:rsid w:val="009D6E2B"/>
    <w:rsid w:val="009D790D"/>
    <w:rsid w:val="009E00F4"/>
    <w:rsid w:val="009E00FB"/>
    <w:rsid w:val="009E04B3"/>
    <w:rsid w:val="009E1578"/>
    <w:rsid w:val="009E1F5A"/>
    <w:rsid w:val="009E2B01"/>
    <w:rsid w:val="009E2EED"/>
    <w:rsid w:val="009E32D1"/>
    <w:rsid w:val="009E3429"/>
    <w:rsid w:val="009E3B8E"/>
    <w:rsid w:val="009E3BF9"/>
    <w:rsid w:val="009E3DE0"/>
    <w:rsid w:val="009E40E4"/>
    <w:rsid w:val="009E417B"/>
    <w:rsid w:val="009E5172"/>
    <w:rsid w:val="009E681E"/>
    <w:rsid w:val="009E6841"/>
    <w:rsid w:val="009E6988"/>
    <w:rsid w:val="009E6A68"/>
    <w:rsid w:val="009E6E99"/>
    <w:rsid w:val="009E7D28"/>
    <w:rsid w:val="009E7F95"/>
    <w:rsid w:val="009F005B"/>
    <w:rsid w:val="009F017C"/>
    <w:rsid w:val="009F01C7"/>
    <w:rsid w:val="009F04BE"/>
    <w:rsid w:val="009F04CB"/>
    <w:rsid w:val="009F0681"/>
    <w:rsid w:val="009F1289"/>
    <w:rsid w:val="009F1437"/>
    <w:rsid w:val="009F1A17"/>
    <w:rsid w:val="009F1DAD"/>
    <w:rsid w:val="009F2605"/>
    <w:rsid w:val="009F268B"/>
    <w:rsid w:val="009F284E"/>
    <w:rsid w:val="009F29A5"/>
    <w:rsid w:val="009F2F1F"/>
    <w:rsid w:val="009F32D2"/>
    <w:rsid w:val="009F3322"/>
    <w:rsid w:val="009F3741"/>
    <w:rsid w:val="009F423C"/>
    <w:rsid w:val="009F425A"/>
    <w:rsid w:val="009F4D48"/>
    <w:rsid w:val="009F4D64"/>
    <w:rsid w:val="009F4E2E"/>
    <w:rsid w:val="009F50B9"/>
    <w:rsid w:val="009F550A"/>
    <w:rsid w:val="009F5A28"/>
    <w:rsid w:val="009F669B"/>
    <w:rsid w:val="009F7190"/>
    <w:rsid w:val="009F786A"/>
    <w:rsid w:val="00A00D31"/>
    <w:rsid w:val="00A01171"/>
    <w:rsid w:val="00A012F5"/>
    <w:rsid w:val="00A01DCD"/>
    <w:rsid w:val="00A0213D"/>
    <w:rsid w:val="00A0267B"/>
    <w:rsid w:val="00A03125"/>
    <w:rsid w:val="00A033A8"/>
    <w:rsid w:val="00A038C6"/>
    <w:rsid w:val="00A03F20"/>
    <w:rsid w:val="00A041CD"/>
    <w:rsid w:val="00A044E9"/>
    <w:rsid w:val="00A04605"/>
    <w:rsid w:val="00A0519B"/>
    <w:rsid w:val="00A058E1"/>
    <w:rsid w:val="00A05B7D"/>
    <w:rsid w:val="00A05FAE"/>
    <w:rsid w:val="00A0643A"/>
    <w:rsid w:val="00A068D9"/>
    <w:rsid w:val="00A06C1A"/>
    <w:rsid w:val="00A06C6E"/>
    <w:rsid w:val="00A105B4"/>
    <w:rsid w:val="00A107B9"/>
    <w:rsid w:val="00A10AA9"/>
    <w:rsid w:val="00A10BB0"/>
    <w:rsid w:val="00A11DE5"/>
    <w:rsid w:val="00A12D56"/>
    <w:rsid w:val="00A1331E"/>
    <w:rsid w:val="00A134FD"/>
    <w:rsid w:val="00A13F19"/>
    <w:rsid w:val="00A1406F"/>
    <w:rsid w:val="00A14BC2"/>
    <w:rsid w:val="00A15E6A"/>
    <w:rsid w:val="00A160AB"/>
    <w:rsid w:val="00A16165"/>
    <w:rsid w:val="00A161CA"/>
    <w:rsid w:val="00A167D6"/>
    <w:rsid w:val="00A16D32"/>
    <w:rsid w:val="00A16D9A"/>
    <w:rsid w:val="00A1734F"/>
    <w:rsid w:val="00A17803"/>
    <w:rsid w:val="00A1782C"/>
    <w:rsid w:val="00A20197"/>
    <w:rsid w:val="00A209E5"/>
    <w:rsid w:val="00A20D50"/>
    <w:rsid w:val="00A2138D"/>
    <w:rsid w:val="00A21787"/>
    <w:rsid w:val="00A21EAC"/>
    <w:rsid w:val="00A2227F"/>
    <w:rsid w:val="00A22569"/>
    <w:rsid w:val="00A229DA"/>
    <w:rsid w:val="00A22B6F"/>
    <w:rsid w:val="00A231D9"/>
    <w:rsid w:val="00A23AA4"/>
    <w:rsid w:val="00A23B90"/>
    <w:rsid w:val="00A24763"/>
    <w:rsid w:val="00A24866"/>
    <w:rsid w:val="00A252CC"/>
    <w:rsid w:val="00A25651"/>
    <w:rsid w:val="00A25AB5"/>
    <w:rsid w:val="00A2676C"/>
    <w:rsid w:val="00A2687F"/>
    <w:rsid w:val="00A26BEC"/>
    <w:rsid w:val="00A27494"/>
    <w:rsid w:val="00A3072C"/>
    <w:rsid w:val="00A308D9"/>
    <w:rsid w:val="00A30A67"/>
    <w:rsid w:val="00A30D3F"/>
    <w:rsid w:val="00A30EAE"/>
    <w:rsid w:val="00A31A65"/>
    <w:rsid w:val="00A320FC"/>
    <w:rsid w:val="00A32315"/>
    <w:rsid w:val="00A32DEE"/>
    <w:rsid w:val="00A32FEE"/>
    <w:rsid w:val="00A33215"/>
    <w:rsid w:val="00A33775"/>
    <w:rsid w:val="00A339F6"/>
    <w:rsid w:val="00A344C7"/>
    <w:rsid w:val="00A346BE"/>
    <w:rsid w:val="00A34EFC"/>
    <w:rsid w:val="00A35087"/>
    <w:rsid w:val="00A350D9"/>
    <w:rsid w:val="00A35409"/>
    <w:rsid w:val="00A35423"/>
    <w:rsid w:val="00A354F0"/>
    <w:rsid w:val="00A361DE"/>
    <w:rsid w:val="00A36424"/>
    <w:rsid w:val="00A36E45"/>
    <w:rsid w:val="00A3709D"/>
    <w:rsid w:val="00A40671"/>
    <w:rsid w:val="00A40D3B"/>
    <w:rsid w:val="00A410AF"/>
    <w:rsid w:val="00A422E1"/>
    <w:rsid w:val="00A4323A"/>
    <w:rsid w:val="00A432AB"/>
    <w:rsid w:val="00A43671"/>
    <w:rsid w:val="00A43B88"/>
    <w:rsid w:val="00A43C35"/>
    <w:rsid w:val="00A440DC"/>
    <w:rsid w:val="00A44686"/>
    <w:rsid w:val="00A44BEF"/>
    <w:rsid w:val="00A44DA3"/>
    <w:rsid w:val="00A44F7D"/>
    <w:rsid w:val="00A44F85"/>
    <w:rsid w:val="00A450CD"/>
    <w:rsid w:val="00A45914"/>
    <w:rsid w:val="00A4633A"/>
    <w:rsid w:val="00A46391"/>
    <w:rsid w:val="00A47F81"/>
    <w:rsid w:val="00A47F85"/>
    <w:rsid w:val="00A500C7"/>
    <w:rsid w:val="00A5014E"/>
    <w:rsid w:val="00A505A9"/>
    <w:rsid w:val="00A50DF5"/>
    <w:rsid w:val="00A50F95"/>
    <w:rsid w:val="00A5147C"/>
    <w:rsid w:val="00A51926"/>
    <w:rsid w:val="00A51CD1"/>
    <w:rsid w:val="00A525F2"/>
    <w:rsid w:val="00A53727"/>
    <w:rsid w:val="00A53A05"/>
    <w:rsid w:val="00A53BF5"/>
    <w:rsid w:val="00A54B52"/>
    <w:rsid w:val="00A553E7"/>
    <w:rsid w:val="00A55C3E"/>
    <w:rsid w:val="00A55CDD"/>
    <w:rsid w:val="00A55F63"/>
    <w:rsid w:val="00A5682A"/>
    <w:rsid w:val="00A56BF2"/>
    <w:rsid w:val="00A56F19"/>
    <w:rsid w:val="00A5754D"/>
    <w:rsid w:val="00A578D2"/>
    <w:rsid w:val="00A57BBB"/>
    <w:rsid w:val="00A57C98"/>
    <w:rsid w:val="00A57DBC"/>
    <w:rsid w:val="00A608B8"/>
    <w:rsid w:val="00A60A33"/>
    <w:rsid w:val="00A6112F"/>
    <w:rsid w:val="00A62868"/>
    <w:rsid w:val="00A62C92"/>
    <w:rsid w:val="00A62E2C"/>
    <w:rsid w:val="00A6343B"/>
    <w:rsid w:val="00A65E45"/>
    <w:rsid w:val="00A66380"/>
    <w:rsid w:val="00A663A1"/>
    <w:rsid w:val="00A66440"/>
    <w:rsid w:val="00A665F6"/>
    <w:rsid w:val="00A67C01"/>
    <w:rsid w:val="00A702C5"/>
    <w:rsid w:val="00A7112F"/>
    <w:rsid w:val="00A72310"/>
    <w:rsid w:val="00A72749"/>
    <w:rsid w:val="00A741BC"/>
    <w:rsid w:val="00A74253"/>
    <w:rsid w:val="00A75C54"/>
    <w:rsid w:val="00A76150"/>
    <w:rsid w:val="00A761BB"/>
    <w:rsid w:val="00A766D8"/>
    <w:rsid w:val="00A769C2"/>
    <w:rsid w:val="00A77285"/>
    <w:rsid w:val="00A77438"/>
    <w:rsid w:val="00A77CAC"/>
    <w:rsid w:val="00A802A4"/>
    <w:rsid w:val="00A81C4C"/>
    <w:rsid w:val="00A81EB5"/>
    <w:rsid w:val="00A821B6"/>
    <w:rsid w:val="00A83C01"/>
    <w:rsid w:val="00A84215"/>
    <w:rsid w:val="00A84606"/>
    <w:rsid w:val="00A8461E"/>
    <w:rsid w:val="00A846A1"/>
    <w:rsid w:val="00A846BB"/>
    <w:rsid w:val="00A84EE5"/>
    <w:rsid w:val="00A85EBD"/>
    <w:rsid w:val="00A85F98"/>
    <w:rsid w:val="00A86732"/>
    <w:rsid w:val="00A86DFB"/>
    <w:rsid w:val="00A86F13"/>
    <w:rsid w:val="00A873C4"/>
    <w:rsid w:val="00A877E4"/>
    <w:rsid w:val="00A87BA8"/>
    <w:rsid w:val="00A87C84"/>
    <w:rsid w:val="00A87FF8"/>
    <w:rsid w:val="00A908A9"/>
    <w:rsid w:val="00A916D0"/>
    <w:rsid w:val="00A9172A"/>
    <w:rsid w:val="00A91BA9"/>
    <w:rsid w:val="00A92124"/>
    <w:rsid w:val="00A92638"/>
    <w:rsid w:val="00A926B8"/>
    <w:rsid w:val="00A92DD6"/>
    <w:rsid w:val="00A92FE1"/>
    <w:rsid w:val="00A936CB"/>
    <w:rsid w:val="00A941C2"/>
    <w:rsid w:val="00A95364"/>
    <w:rsid w:val="00A953AF"/>
    <w:rsid w:val="00A959B3"/>
    <w:rsid w:val="00A95A69"/>
    <w:rsid w:val="00A95BB7"/>
    <w:rsid w:val="00A96853"/>
    <w:rsid w:val="00A972E7"/>
    <w:rsid w:val="00A97335"/>
    <w:rsid w:val="00A97435"/>
    <w:rsid w:val="00A97531"/>
    <w:rsid w:val="00A9764B"/>
    <w:rsid w:val="00A979DA"/>
    <w:rsid w:val="00A97FEC"/>
    <w:rsid w:val="00AA0028"/>
    <w:rsid w:val="00AA0103"/>
    <w:rsid w:val="00AA0168"/>
    <w:rsid w:val="00AA0187"/>
    <w:rsid w:val="00AA0299"/>
    <w:rsid w:val="00AA16AA"/>
    <w:rsid w:val="00AA16AD"/>
    <w:rsid w:val="00AA197C"/>
    <w:rsid w:val="00AA283A"/>
    <w:rsid w:val="00AA2C28"/>
    <w:rsid w:val="00AA3896"/>
    <w:rsid w:val="00AA3EC9"/>
    <w:rsid w:val="00AA4459"/>
    <w:rsid w:val="00AA451F"/>
    <w:rsid w:val="00AA505A"/>
    <w:rsid w:val="00AA6C6F"/>
    <w:rsid w:val="00AA77D2"/>
    <w:rsid w:val="00AA783E"/>
    <w:rsid w:val="00AA7CF1"/>
    <w:rsid w:val="00AB041A"/>
    <w:rsid w:val="00AB0598"/>
    <w:rsid w:val="00AB1CED"/>
    <w:rsid w:val="00AB37CB"/>
    <w:rsid w:val="00AB3D60"/>
    <w:rsid w:val="00AB3F68"/>
    <w:rsid w:val="00AB40A7"/>
    <w:rsid w:val="00AB4107"/>
    <w:rsid w:val="00AB4650"/>
    <w:rsid w:val="00AB4CBE"/>
    <w:rsid w:val="00AB5852"/>
    <w:rsid w:val="00AB58EA"/>
    <w:rsid w:val="00AB5BF7"/>
    <w:rsid w:val="00AB5E06"/>
    <w:rsid w:val="00AB6313"/>
    <w:rsid w:val="00AB659A"/>
    <w:rsid w:val="00AB6B0E"/>
    <w:rsid w:val="00AB71EF"/>
    <w:rsid w:val="00AB74BA"/>
    <w:rsid w:val="00AB7DC1"/>
    <w:rsid w:val="00AC050A"/>
    <w:rsid w:val="00AC08FC"/>
    <w:rsid w:val="00AC0C1A"/>
    <w:rsid w:val="00AC1233"/>
    <w:rsid w:val="00AC22CD"/>
    <w:rsid w:val="00AC2306"/>
    <w:rsid w:val="00AC283B"/>
    <w:rsid w:val="00AC2DE0"/>
    <w:rsid w:val="00AC3230"/>
    <w:rsid w:val="00AC3609"/>
    <w:rsid w:val="00AC37B8"/>
    <w:rsid w:val="00AC38A3"/>
    <w:rsid w:val="00AC48AA"/>
    <w:rsid w:val="00AC4F86"/>
    <w:rsid w:val="00AC537B"/>
    <w:rsid w:val="00AC540B"/>
    <w:rsid w:val="00AC5CC8"/>
    <w:rsid w:val="00AC5F0D"/>
    <w:rsid w:val="00AC60F6"/>
    <w:rsid w:val="00AC622B"/>
    <w:rsid w:val="00AC6713"/>
    <w:rsid w:val="00AC6DAF"/>
    <w:rsid w:val="00AC6FDB"/>
    <w:rsid w:val="00AC7969"/>
    <w:rsid w:val="00AD0321"/>
    <w:rsid w:val="00AD1D79"/>
    <w:rsid w:val="00AD1FD3"/>
    <w:rsid w:val="00AD230E"/>
    <w:rsid w:val="00AD2A95"/>
    <w:rsid w:val="00AD2F27"/>
    <w:rsid w:val="00AD34C9"/>
    <w:rsid w:val="00AD4130"/>
    <w:rsid w:val="00AD44D6"/>
    <w:rsid w:val="00AD46AD"/>
    <w:rsid w:val="00AD5459"/>
    <w:rsid w:val="00AD5761"/>
    <w:rsid w:val="00AE0424"/>
    <w:rsid w:val="00AE1181"/>
    <w:rsid w:val="00AE11BF"/>
    <w:rsid w:val="00AE15E9"/>
    <w:rsid w:val="00AE1855"/>
    <w:rsid w:val="00AE1F3E"/>
    <w:rsid w:val="00AE340E"/>
    <w:rsid w:val="00AE3488"/>
    <w:rsid w:val="00AE3BB4"/>
    <w:rsid w:val="00AE3F3B"/>
    <w:rsid w:val="00AE53DC"/>
    <w:rsid w:val="00AE568F"/>
    <w:rsid w:val="00AE5C65"/>
    <w:rsid w:val="00AE6278"/>
    <w:rsid w:val="00AE63C2"/>
    <w:rsid w:val="00AE66E6"/>
    <w:rsid w:val="00AE6C07"/>
    <w:rsid w:val="00AE6E1E"/>
    <w:rsid w:val="00AE752D"/>
    <w:rsid w:val="00AE79F3"/>
    <w:rsid w:val="00AE7C5D"/>
    <w:rsid w:val="00AE7D84"/>
    <w:rsid w:val="00AF069F"/>
    <w:rsid w:val="00AF0D77"/>
    <w:rsid w:val="00AF11C3"/>
    <w:rsid w:val="00AF16B1"/>
    <w:rsid w:val="00AF1EB3"/>
    <w:rsid w:val="00AF1F24"/>
    <w:rsid w:val="00AF20FC"/>
    <w:rsid w:val="00AF232A"/>
    <w:rsid w:val="00AF2909"/>
    <w:rsid w:val="00AF3CA2"/>
    <w:rsid w:val="00AF3D8C"/>
    <w:rsid w:val="00AF4852"/>
    <w:rsid w:val="00AF48D0"/>
    <w:rsid w:val="00AF4AD6"/>
    <w:rsid w:val="00AF4CB9"/>
    <w:rsid w:val="00AF5099"/>
    <w:rsid w:val="00AF5A18"/>
    <w:rsid w:val="00AF6816"/>
    <w:rsid w:val="00AF6C73"/>
    <w:rsid w:val="00AF70EB"/>
    <w:rsid w:val="00AF77D8"/>
    <w:rsid w:val="00AF7A83"/>
    <w:rsid w:val="00AF7D36"/>
    <w:rsid w:val="00B00449"/>
    <w:rsid w:val="00B004B9"/>
    <w:rsid w:val="00B008EE"/>
    <w:rsid w:val="00B008F1"/>
    <w:rsid w:val="00B00C1C"/>
    <w:rsid w:val="00B016C9"/>
    <w:rsid w:val="00B01FB1"/>
    <w:rsid w:val="00B0242D"/>
    <w:rsid w:val="00B02714"/>
    <w:rsid w:val="00B031C2"/>
    <w:rsid w:val="00B03690"/>
    <w:rsid w:val="00B037FD"/>
    <w:rsid w:val="00B038E6"/>
    <w:rsid w:val="00B03F0A"/>
    <w:rsid w:val="00B04657"/>
    <w:rsid w:val="00B049BD"/>
    <w:rsid w:val="00B04BE0"/>
    <w:rsid w:val="00B04D14"/>
    <w:rsid w:val="00B050D1"/>
    <w:rsid w:val="00B05290"/>
    <w:rsid w:val="00B05ADB"/>
    <w:rsid w:val="00B061C7"/>
    <w:rsid w:val="00B06F8B"/>
    <w:rsid w:val="00B074D7"/>
    <w:rsid w:val="00B0775D"/>
    <w:rsid w:val="00B07E75"/>
    <w:rsid w:val="00B10035"/>
    <w:rsid w:val="00B10890"/>
    <w:rsid w:val="00B1102B"/>
    <w:rsid w:val="00B11FD0"/>
    <w:rsid w:val="00B12B13"/>
    <w:rsid w:val="00B12BF5"/>
    <w:rsid w:val="00B12E96"/>
    <w:rsid w:val="00B12EDE"/>
    <w:rsid w:val="00B12F54"/>
    <w:rsid w:val="00B139ED"/>
    <w:rsid w:val="00B13AB0"/>
    <w:rsid w:val="00B13B24"/>
    <w:rsid w:val="00B1456C"/>
    <w:rsid w:val="00B14763"/>
    <w:rsid w:val="00B14C5B"/>
    <w:rsid w:val="00B14ED8"/>
    <w:rsid w:val="00B14F54"/>
    <w:rsid w:val="00B15735"/>
    <w:rsid w:val="00B15B61"/>
    <w:rsid w:val="00B15CC7"/>
    <w:rsid w:val="00B15D44"/>
    <w:rsid w:val="00B16118"/>
    <w:rsid w:val="00B16859"/>
    <w:rsid w:val="00B200D8"/>
    <w:rsid w:val="00B212A0"/>
    <w:rsid w:val="00B2283F"/>
    <w:rsid w:val="00B22BE0"/>
    <w:rsid w:val="00B2305D"/>
    <w:rsid w:val="00B2327E"/>
    <w:rsid w:val="00B23B64"/>
    <w:rsid w:val="00B24032"/>
    <w:rsid w:val="00B24265"/>
    <w:rsid w:val="00B2437C"/>
    <w:rsid w:val="00B24514"/>
    <w:rsid w:val="00B24AFE"/>
    <w:rsid w:val="00B24C93"/>
    <w:rsid w:val="00B25307"/>
    <w:rsid w:val="00B25BD5"/>
    <w:rsid w:val="00B25EE1"/>
    <w:rsid w:val="00B26A4F"/>
    <w:rsid w:val="00B26A8E"/>
    <w:rsid w:val="00B26D00"/>
    <w:rsid w:val="00B275DF"/>
    <w:rsid w:val="00B27E1B"/>
    <w:rsid w:val="00B30365"/>
    <w:rsid w:val="00B30972"/>
    <w:rsid w:val="00B30D9B"/>
    <w:rsid w:val="00B31EEA"/>
    <w:rsid w:val="00B31F5D"/>
    <w:rsid w:val="00B31FDB"/>
    <w:rsid w:val="00B323EE"/>
    <w:rsid w:val="00B32E55"/>
    <w:rsid w:val="00B339CD"/>
    <w:rsid w:val="00B3493A"/>
    <w:rsid w:val="00B35069"/>
    <w:rsid w:val="00B35369"/>
    <w:rsid w:val="00B354F7"/>
    <w:rsid w:val="00B3558F"/>
    <w:rsid w:val="00B359B0"/>
    <w:rsid w:val="00B36026"/>
    <w:rsid w:val="00B369EE"/>
    <w:rsid w:val="00B36EC8"/>
    <w:rsid w:val="00B37E57"/>
    <w:rsid w:val="00B404FA"/>
    <w:rsid w:val="00B4057A"/>
    <w:rsid w:val="00B40C44"/>
    <w:rsid w:val="00B40CAF"/>
    <w:rsid w:val="00B41083"/>
    <w:rsid w:val="00B4130D"/>
    <w:rsid w:val="00B414C2"/>
    <w:rsid w:val="00B41775"/>
    <w:rsid w:val="00B418E4"/>
    <w:rsid w:val="00B4222C"/>
    <w:rsid w:val="00B42589"/>
    <w:rsid w:val="00B426C4"/>
    <w:rsid w:val="00B4351A"/>
    <w:rsid w:val="00B4352A"/>
    <w:rsid w:val="00B43716"/>
    <w:rsid w:val="00B43FA8"/>
    <w:rsid w:val="00B44ED3"/>
    <w:rsid w:val="00B4531F"/>
    <w:rsid w:val="00B45CA2"/>
    <w:rsid w:val="00B46274"/>
    <w:rsid w:val="00B46CB8"/>
    <w:rsid w:val="00B478D8"/>
    <w:rsid w:val="00B502DC"/>
    <w:rsid w:val="00B5047E"/>
    <w:rsid w:val="00B50557"/>
    <w:rsid w:val="00B50923"/>
    <w:rsid w:val="00B50A3C"/>
    <w:rsid w:val="00B51F63"/>
    <w:rsid w:val="00B51FA0"/>
    <w:rsid w:val="00B526E2"/>
    <w:rsid w:val="00B534E4"/>
    <w:rsid w:val="00B53CEC"/>
    <w:rsid w:val="00B53FB0"/>
    <w:rsid w:val="00B54374"/>
    <w:rsid w:val="00B54416"/>
    <w:rsid w:val="00B551AF"/>
    <w:rsid w:val="00B56016"/>
    <w:rsid w:val="00B56136"/>
    <w:rsid w:val="00B562FF"/>
    <w:rsid w:val="00B56496"/>
    <w:rsid w:val="00B565C4"/>
    <w:rsid w:val="00B56DDE"/>
    <w:rsid w:val="00B571B4"/>
    <w:rsid w:val="00B57211"/>
    <w:rsid w:val="00B57258"/>
    <w:rsid w:val="00B57515"/>
    <w:rsid w:val="00B57BA1"/>
    <w:rsid w:val="00B57DB4"/>
    <w:rsid w:val="00B60264"/>
    <w:rsid w:val="00B61187"/>
    <w:rsid w:val="00B6223A"/>
    <w:rsid w:val="00B625CA"/>
    <w:rsid w:val="00B62976"/>
    <w:rsid w:val="00B62AAB"/>
    <w:rsid w:val="00B6365E"/>
    <w:rsid w:val="00B6378C"/>
    <w:rsid w:val="00B639E4"/>
    <w:rsid w:val="00B644A3"/>
    <w:rsid w:val="00B64B55"/>
    <w:rsid w:val="00B64F67"/>
    <w:rsid w:val="00B65517"/>
    <w:rsid w:val="00B66283"/>
    <w:rsid w:val="00B66762"/>
    <w:rsid w:val="00B667FE"/>
    <w:rsid w:val="00B6698D"/>
    <w:rsid w:val="00B66B2A"/>
    <w:rsid w:val="00B66C96"/>
    <w:rsid w:val="00B66FC7"/>
    <w:rsid w:val="00B67756"/>
    <w:rsid w:val="00B67BC9"/>
    <w:rsid w:val="00B708D0"/>
    <w:rsid w:val="00B71409"/>
    <w:rsid w:val="00B71754"/>
    <w:rsid w:val="00B71782"/>
    <w:rsid w:val="00B71BD9"/>
    <w:rsid w:val="00B71E0D"/>
    <w:rsid w:val="00B71FAA"/>
    <w:rsid w:val="00B72325"/>
    <w:rsid w:val="00B729D9"/>
    <w:rsid w:val="00B72CCC"/>
    <w:rsid w:val="00B730BD"/>
    <w:rsid w:val="00B73A84"/>
    <w:rsid w:val="00B741B7"/>
    <w:rsid w:val="00B745AB"/>
    <w:rsid w:val="00B74830"/>
    <w:rsid w:val="00B75C8B"/>
    <w:rsid w:val="00B75E27"/>
    <w:rsid w:val="00B76216"/>
    <w:rsid w:val="00B76222"/>
    <w:rsid w:val="00B76957"/>
    <w:rsid w:val="00B7797A"/>
    <w:rsid w:val="00B77F54"/>
    <w:rsid w:val="00B800B6"/>
    <w:rsid w:val="00B81306"/>
    <w:rsid w:val="00B8159E"/>
    <w:rsid w:val="00B81792"/>
    <w:rsid w:val="00B824AD"/>
    <w:rsid w:val="00B8321C"/>
    <w:rsid w:val="00B85817"/>
    <w:rsid w:val="00B864AE"/>
    <w:rsid w:val="00B865F4"/>
    <w:rsid w:val="00B86944"/>
    <w:rsid w:val="00B86F24"/>
    <w:rsid w:val="00B87B0B"/>
    <w:rsid w:val="00B87C22"/>
    <w:rsid w:val="00B87DF5"/>
    <w:rsid w:val="00B907C0"/>
    <w:rsid w:val="00B9082A"/>
    <w:rsid w:val="00B9122D"/>
    <w:rsid w:val="00B9154C"/>
    <w:rsid w:val="00B924F6"/>
    <w:rsid w:val="00B926DE"/>
    <w:rsid w:val="00B92822"/>
    <w:rsid w:val="00B92E17"/>
    <w:rsid w:val="00B932DD"/>
    <w:rsid w:val="00B935E8"/>
    <w:rsid w:val="00B94C1E"/>
    <w:rsid w:val="00B94C21"/>
    <w:rsid w:val="00B9594A"/>
    <w:rsid w:val="00B95F90"/>
    <w:rsid w:val="00B97352"/>
    <w:rsid w:val="00B97669"/>
    <w:rsid w:val="00BA062F"/>
    <w:rsid w:val="00BA2A0F"/>
    <w:rsid w:val="00BA2CA3"/>
    <w:rsid w:val="00BA31EB"/>
    <w:rsid w:val="00BA321F"/>
    <w:rsid w:val="00BA3B9D"/>
    <w:rsid w:val="00BA455D"/>
    <w:rsid w:val="00BA45E4"/>
    <w:rsid w:val="00BA46F4"/>
    <w:rsid w:val="00BA4C73"/>
    <w:rsid w:val="00BA52D1"/>
    <w:rsid w:val="00BA54F7"/>
    <w:rsid w:val="00BA5533"/>
    <w:rsid w:val="00BA5A63"/>
    <w:rsid w:val="00BA60EB"/>
    <w:rsid w:val="00BA6F74"/>
    <w:rsid w:val="00BA7713"/>
    <w:rsid w:val="00BA7D5C"/>
    <w:rsid w:val="00BB03F3"/>
    <w:rsid w:val="00BB0F25"/>
    <w:rsid w:val="00BB1378"/>
    <w:rsid w:val="00BB15F8"/>
    <w:rsid w:val="00BB1DBE"/>
    <w:rsid w:val="00BB1EE3"/>
    <w:rsid w:val="00BB39E5"/>
    <w:rsid w:val="00BB3AB7"/>
    <w:rsid w:val="00BB430A"/>
    <w:rsid w:val="00BB57B0"/>
    <w:rsid w:val="00BB6557"/>
    <w:rsid w:val="00BB696D"/>
    <w:rsid w:val="00BB6BBA"/>
    <w:rsid w:val="00BB6C48"/>
    <w:rsid w:val="00BB6EB8"/>
    <w:rsid w:val="00BB7377"/>
    <w:rsid w:val="00BB7C94"/>
    <w:rsid w:val="00BB7EEE"/>
    <w:rsid w:val="00BC0373"/>
    <w:rsid w:val="00BC15D0"/>
    <w:rsid w:val="00BC16F1"/>
    <w:rsid w:val="00BC1AC6"/>
    <w:rsid w:val="00BC2011"/>
    <w:rsid w:val="00BC2685"/>
    <w:rsid w:val="00BC2C6D"/>
    <w:rsid w:val="00BC2E0E"/>
    <w:rsid w:val="00BC307B"/>
    <w:rsid w:val="00BC351C"/>
    <w:rsid w:val="00BC3F4E"/>
    <w:rsid w:val="00BC3FFB"/>
    <w:rsid w:val="00BC41A6"/>
    <w:rsid w:val="00BC449C"/>
    <w:rsid w:val="00BC45CF"/>
    <w:rsid w:val="00BC5233"/>
    <w:rsid w:val="00BC5A4E"/>
    <w:rsid w:val="00BC6A5D"/>
    <w:rsid w:val="00BC726D"/>
    <w:rsid w:val="00BC73D2"/>
    <w:rsid w:val="00BC7B32"/>
    <w:rsid w:val="00BD0008"/>
    <w:rsid w:val="00BD21D0"/>
    <w:rsid w:val="00BD2364"/>
    <w:rsid w:val="00BD2499"/>
    <w:rsid w:val="00BD26AC"/>
    <w:rsid w:val="00BD34A4"/>
    <w:rsid w:val="00BD44FA"/>
    <w:rsid w:val="00BD4C65"/>
    <w:rsid w:val="00BD4EBD"/>
    <w:rsid w:val="00BD5500"/>
    <w:rsid w:val="00BD5A11"/>
    <w:rsid w:val="00BD60CA"/>
    <w:rsid w:val="00BD6FB2"/>
    <w:rsid w:val="00BD7132"/>
    <w:rsid w:val="00BD7677"/>
    <w:rsid w:val="00BD7913"/>
    <w:rsid w:val="00BE048E"/>
    <w:rsid w:val="00BE05B0"/>
    <w:rsid w:val="00BE0B95"/>
    <w:rsid w:val="00BE0BF0"/>
    <w:rsid w:val="00BE0DFF"/>
    <w:rsid w:val="00BE0E28"/>
    <w:rsid w:val="00BE0FDF"/>
    <w:rsid w:val="00BE15F6"/>
    <w:rsid w:val="00BE1CD6"/>
    <w:rsid w:val="00BE2494"/>
    <w:rsid w:val="00BE2F5F"/>
    <w:rsid w:val="00BE3237"/>
    <w:rsid w:val="00BE341F"/>
    <w:rsid w:val="00BE394D"/>
    <w:rsid w:val="00BE3B33"/>
    <w:rsid w:val="00BE425C"/>
    <w:rsid w:val="00BE4D4D"/>
    <w:rsid w:val="00BE5038"/>
    <w:rsid w:val="00BE5547"/>
    <w:rsid w:val="00BE5712"/>
    <w:rsid w:val="00BE5EDA"/>
    <w:rsid w:val="00BE6226"/>
    <w:rsid w:val="00BE6955"/>
    <w:rsid w:val="00BE711E"/>
    <w:rsid w:val="00BE731D"/>
    <w:rsid w:val="00BE79A2"/>
    <w:rsid w:val="00BF026A"/>
    <w:rsid w:val="00BF0911"/>
    <w:rsid w:val="00BF1043"/>
    <w:rsid w:val="00BF1B9B"/>
    <w:rsid w:val="00BF2389"/>
    <w:rsid w:val="00BF3769"/>
    <w:rsid w:val="00BF4430"/>
    <w:rsid w:val="00BF4610"/>
    <w:rsid w:val="00BF4639"/>
    <w:rsid w:val="00BF49A8"/>
    <w:rsid w:val="00BF4D3E"/>
    <w:rsid w:val="00BF55BD"/>
    <w:rsid w:val="00BF56A6"/>
    <w:rsid w:val="00BF595B"/>
    <w:rsid w:val="00BF5BA5"/>
    <w:rsid w:val="00BF6529"/>
    <w:rsid w:val="00BF6726"/>
    <w:rsid w:val="00BF7431"/>
    <w:rsid w:val="00BF7BDB"/>
    <w:rsid w:val="00C001B7"/>
    <w:rsid w:val="00C00527"/>
    <w:rsid w:val="00C00EB2"/>
    <w:rsid w:val="00C01899"/>
    <w:rsid w:val="00C020B2"/>
    <w:rsid w:val="00C0247F"/>
    <w:rsid w:val="00C02D5F"/>
    <w:rsid w:val="00C02EC7"/>
    <w:rsid w:val="00C03BF7"/>
    <w:rsid w:val="00C04453"/>
    <w:rsid w:val="00C04CFD"/>
    <w:rsid w:val="00C04D39"/>
    <w:rsid w:val="00C04D58"/>
    <w:rsid w:val="00C05883"/>
    <w:rsid w:val="00C05B72"/>
    <w:rsid w:val="00C05FA6"/>
    <w:rsid w:val="00C0611E"/>
    <w:rsid w:val="00C064CE"/>
    <w:rsid w:val="00C07459"/>
    <w:rsid w:val="00C07470"/>
    <w:rsid w:val="00C07F76"/>
    <w:rsid w:val="00C1038C"/>
    <w:rsid w:val="00C10E02"/>
    <w:rsid w:val="00C10FFE"/>
    <w:rsid w:val="00C112BA"/>
    <w:rsid w:val="00C12258"/>
    <w:rsid w:val="00C12D1E"/>
    <w:rsid w:val="00C12D72"/>
    <w:rsid w:val="00C12DFF"/>
    <w:rsid w:val="00C12F1A"/>
    <w:rsid w:val="00C13BA9"/>
    <w:rsid w:val="00C153CA"/>
    <w:rsid w:val="00C16229"/>
    <w:rsid w:val="00C166BD"/>
    <w:rsid w:val="00C16D6C"/>
    <w:rsid w:val="00C16E7E"/>
    <w:rsid w:val="00C17573"/>
    <w:rsid w:val="00C17804"/>
    <w:rsid w:val="00C20A1D"/>
    <w:rsid w:val="00C21039"/>
    <w:rsid w:val="00C2103E"/>
    <w:rsid w:val="00C21214"/>
    <w:rsid w:val="00C212BE"/>
    <w:rsid w:val="00C21E1D"/>
    <w:rsid w:val="00C21E72"/>
    <w:rsid w:val="00C21E85"/>
    <w:rsid w:val="00C22208"/>
    <w:rsid w:val="00C22670"/>
    <w:rsid w:val="00C22851"/>
    <w:rsid w:val="00C23262"/>
    <w:rsid w:val="00C232B9"/>
    <w:rsid w:val="00C23325"/>
    <w:rsid w:val="00C24382"/>
    <w:rsid w:val="00C244A9"/>
    <w:rsid w:val="00C24C05"/>
    <w:rsid w:val="00C25682"/>
    <w:rsid w:val="00C25B38"/>
    <w:rsid w:val="00C25BC7"/>
    <w:rsid w:val="00C25EB1"/>
    <w:rsid w:val="00C26DC1"/>
    <w:rsid w:val="00C274FE"/>
    <w:rsid w:val="00C27B56"/>
    <w:rsid w:val="00C27D2C"/>
    <w:rsid w:val="00C27DA7"/>
    <w:rsid w:val="00C30255"/>
    <w:rsid w:val="00C3029B"/>
    <w:rsid w:val="00C30E11"/>
    <w:rsid w:val="00C310BA"/>
    <w:rsid w:val="00C313FE"/>
    <w:rsid w:val="00C317A0"/>
    <w:rsid w:val="00C31DAD"/>
    <w:rsid w:val="00C32ADC"/>
    <w:rsid w:val="00C32FA5"/>
    <w:rsid w:val="00C332E9"/>
    <w:rsid w:val="00C334D3"/>
    <w:rsid w:val="00C33721"/>
    <w:rsid w:val="00C339A6"/>
    <w:rsid w:val="00C33BDF"/>
    <w:rsid w:val="00C346F8"/>
    <w:rsid w:val="00C34931"/>
    <w:rsid w:val="00C34C5F"/>
    <w:rsid w:val="00C34F98"/>
    <w:rsid w:val="00C3567D"/>
    <w:rsid w:val="00C358CC"/>
    <w:rsid w:val="00C359DF"/>
    <w:rsid w:val="00C35EC7"/>
    <w:rsid w:val="00C36142"/>
    <w:rsid w:val="00C362F8"/>
    <w:rsid w:val="00C36FCF"/>
    <w:rsid w:val="00C37072"/>
    <w:rsid w:val="00C3732A"/>
    <w:rsid w:val="00C3755E"/>
    <w:rsid w:val="00C375C2"/>
    <w:rsid w:val="00C3767F"/>
    <w:rsid w:val="00C37BEC"/>
    <w:rsid w:val="00C4035E"/>
    <w:rsid w:val="00C40591"/>
    <w:rsid w:val="00C40E1C"/>
    <w:rsid w:val="00C41F07"/>
    <w:rsid w:val="00C42CF3"/>
    <w:rsid w:val="00C42CFA"/>
    <w:rsid w:val="00C43047"/>
    <w:rsid w:val="00C43075"/>
    <w:rsid w:val="00C43699"/>
    <w:rsid w:val="00C43719"/>
    <w:rsid w:val="00C43766"/>
    <w:rsid w:val="00C438C0"/>
    <w:rsid w:val="00C4448E"/>
    <w:rsid w:val="00C44B5E"/>
    <w:rsid w:val="00C44E37"/>
    <w:rsid w:val="00C45276"/>
    <w:rsid w:val="00C45A95"/>
    <w:rsid w:val="00C45B8D"/>
    <w:rsid w:val="00C45C67"/>
    <w:rsid w:val="00C45FAD"/>
    <w:rsid w:val="00C467D1"/>
    <w:rsid w:val="00C467FB"/>
    <w:rsid w:val="00C46C46"/>
    <w:rsid w:val="00C4731E"/>
    <w:rsid w:val="00C47818"/>
    <w:rsid w:val="00C478A0"/>
    <w:rsid w:val="00C5105F"/>
    <w:rsid w:val="00C51EEB"/>
    <w:rsid w:val="00C521E5"/>
    <w:rsid w:val="00C53B4F"/>
    <w:rsid w:val="00C55309"/>
    <w:rsid w:val="00C55603"/>
    <w:rsid w:val="00C55682"/>
    <w:rsid w:val="00C55C3F"/>
    <w:rsid w:val="00C56D25"/>
    <w:rsid w:val="00C576E6"/>
    <w:rsid w:val="00C57A8B"/>
    <w:rsid w:val="00C57C73"/>
    <w:rsid w:val="00C61CBD"/>
    <w:rsid w:val="00C623FE"/>
    <w:rsid w:val="00C626CC"/>
    <w:rsid w:val="00C629D9"/>
    <w:rsid w:val="00C62E76"/>
    <w:rsid w:val="00C6330B"/>
    <w:rsid w:val="00C63878"/>
    <w:rsid w:val="00C63989"/>
    <w:rsid w:val="00C63B97"/>
    <w:rsid w:val="00C64871"/>
    <w:rsid w:val="00C64A24"/>
    <w:rsid w:val="00C651A8"/>
    <w:rsid w:val="00C654A7"/>
    <w:rsid w:val="00C656A2"/>
    <w:rsid w:val="00C65775"/>
    <w:rsid w:val="00C65ADA"/>
    <w:rsid w:val="00C65D30"/>
    <w:rsid w:val="00C66858"/>
    <w:rsid w:val="00C66861"/>
    <w:rsid w:val="00C66BEB"/>
    <w:rsid w:val="00C67A11"/>
    <w:rsid w:val="00C71F90"/>
    <w:rsid w:val="00C72137"/>
    <w:rsid w:val="00C72846"/>
    <w:rsid w:val="00C72DF3"/>
    <w:rsid w:val="00C73333"/>
    <w:rsid w:val="00C73BE6"/>
    <w:rsid w:val="00C73DDB"/>
    <w:rsid w:val="00C740CA"/>
    <w:rsid w:val="00C746B0"/>
    <w:rsid w:val="00C74756"/>
    <w:rsid w:val="00C7490F"/>
    <w:rsid w:val="00C74D4C"/>
    <w:rsid w:val="00C74EB9"/>
    <w:rsid w:val="00C751DB"/>
    <w:rsid w:val="00C7561A"/>
    <w:rsid w:val="00C75A0C"/>
    <w:rsid w:val="00C76131"/>
    <w:rsid w:val="00C7635F"/>
    <w:rsid w:val="00C7654F"/>
    <w:rsid w:val="00C771D0"/>
    <w:rsid w:val="00C77279"/>
    <w:rsid w:val="00C77832"/>
    <w:rsid w:val="00C77DE7"/>
    <w:rsid w:val="00C8088A"/>
    <w:rsid w:val="00C81048"/>
    <w:rsid w:val="00C811F5"/>
    <w:rsid w:val="00C812A0"/>
    <w:rsid w:val="00C81DDB"/>
    <w:rsid w:val="00C821A3"/>
    <w:rsid w:val="00C8282A"/>
    <w:rsid w:val="00C82CBC"/>
    <w:rsid w:val="00C82FAC"/>
    <w:rsid w:val="00C8331B"/>
    <w:rsid w:val="00C834FF"/>
    <w:rsid w:val="00C83ABA"/>
    <w:rsid w:val="00C842B5"/>
    <w:rsid w:val="00C84DC5"/>
    <w:rsid w:val="00C85AA0"/>
    <w:rsid w:val="00C85BF5"/>
    <w:rsid w:val="00C85E98"/>
    <w:rsid w:val="00C86146"/>
    <w:rsid w:val="00C862A0"/>
    <w:rsid w:val="00C865E2"/>
    <w:rsid w:val="00C86858"/>
    <w:rsid w:val="00C87262"/>
    <w:rsid w:val="00C8732A"/>
    <w:rsid w:val="00C87BAA"/>
    <w:rsid w:val="00C90491"/>
    <w:rsid w:val="00C90D6F"/>
    <w:rsid w:val="00C90E17"/>
    <w:rsid w:val="00C90F6A"/>
    <w:rsid w:val="00C91139"/>
    <w:rsid w:val="00C91569"/>
    <w:rsid w:val="00C91B4D"/>
    <w:rsid w:val="00C92BED"/>
    <w:rsid w:val="00C92E40"/>
    <w:rsid w:val="00C9312C"/>
    <w:rsid w:val="00C94114"/>
    <w:rsid w:val="00C94644"/>
    <w:rsid w:val="00C9479F"/>
    <w:rsid w:val="00C94BD7"/>
    <w:rsid w:val="00C9504A"/>
    <w:rsid w:val="00C95BCD"/>
    <w:rsid w:val="00C9607E"/>
    <w:rsid w:val="00C969E7"/>
    <w:rsid w:val="00C96A98"/>
    <w:rsid w:val="00CA11D3"/>
    <w:rsid w:val="00CA1AA2"/>
    <w:rsid w:val="00CA1DBC"/>
    <w:rsid w:val="00CA2B89"/>
    <w:rsid w:val="00CA3792"/>
    <w:rsid w:val="00CA3BD3"/>
    <w:rsid w:val="00CA3E17"/>
    <w:rsid w:val="00CA4A5E"/>
    <w:rsid w:val="00CA4BDD"/>
    <w:rsid w:val="00CA50D7"/>
    <w:rsid w:val="00CA51EC"/>
    <w:rsid w:val="00CA536C"/>
    <w:rsid w:val="00CA5F5E"/>
    <w:rsid w:val="00CA6DAA"/>
    <w:rsid w:val="00CA72F0"/>
    <w:rsid w:val="00CA761C"/>
    <w:rsid w:val="00CA78AE"/>
    <w:rsid w:val="00CB090D"/>
    <w:rsid w:val="00CB112D"/>
    <w:rsid w:val="00CB11DE"/>
    <w:rsid w:val="00CB2030"/>
    <w:rsid w:val="00CB23F7"/>
    <w:rsid w:val="00CB2DB8"/>
    <w:rsid w:val="00CB399B"/>
    <w:rsid w:val="00CB44FE"/>
    <w:rsid w:val="00CB4B67"/>
    <w:rsid w:val="00CB50A3"/>
    <w:rsid w:val="00CB5163"/>
    <w:rsid w:val="00CB5B1A"/>
    <w:rsid w:val="00CB7421"/>
    <w:rsid w:val="00CB7B06"/>
    <w:rsid w:val="00CC01C3"/>
    <w:rsid w:val="00CC0431"/>
    <w:rsid w:val="00CC0960"/>
    <w:rsid w:val="00CC0A8D"/>
    <w:rsid w:val="00CC0C9B"/>
    <w:rsid w:val="00CC0CB8"/>
    <w:rsid w:val="00CC104D"/>
    <w:rsid w:val="00CC187F"/>
    <w:rsid w:val="00CC2477"/>
    <w:rsid w:val="00CC297C"/>
    <w:rsid w:val="00CC2CCD"/>
    <w:rsid w:val="00CC3629"/>
    <w:rsid w:val="00CC3647"/>
    <w:rsid w:val="00CC3EC0"/>
    <w:rsid w:val="00CC3EDC"/>
    <w:rsid w:val="00CC3F3C"/>
    <w:rsid w:val="00CC44B2"/>
    <w:rsid w:val="00CC4826"/>
    <w:rsid w:val="00CC504B"/>
    <w:rsid w:val="00CC5738"/>
    <w:rsid w:val="00CC5FF9"/>
    <w:rsid w:val="00CC609C"/>
    <w:rsid w:val="00CC618A"/>
    <w:rsid w:val="00CC645D"/>
    <w:rsid w:val="00CC68B6"/>
    <w:rsid w:val="00CC6AA8"/>
    <w:rsid w:val="00CD0BEB"/>
    <w:rsid w:val="00CD0C50"/>
    <w:rsid w:val="00CD1AAF"/>
    <w:rsid w:val="00CD1BBC"/>
    <w:rsid w:val="00CD1BF4"/>
    <w:rsid w:val="00CD1D27"/>
    <w:rsid w:val="00CD2383"/>
    <w:rsid w:val="00CD38FF"/>
    <w:rsid w:val="00CD3D7A"/>
    <w:rsid w:val="00CD3DA2"/>
    <w:rsid w:val="00CD42B1"/>
    <w:rsid w:val="00CD4357"/>
    <w:rsid w:val="00CD464E"/>
    <w:rsid w:val="00CD4A97"/>
    <w:rsid w:val="00CD506B"/>
    <w:rsid w:val="00CD55D3"/>
    <w:rsid w:val="00CD595C"/>
    <w:rsid w:val="00CD6E8E"/>
    <w:rsid w:val="00CD6ED2"/>
    <w:rsid w:val="00CD6F72"/>
    <w:rsid w:val="00CD70D2"/>
    <w:rsid w:val="00CD7C33"/>
    <w:rsid w:val="00CD7D96"/>
    <w:rsid w:val="00CD7E01"/>
    <w:rsid w:val="00CE05C2"/>
    <w:rsid w:val="00CE0AF2"/>
    <w:rsid w:val="00CE0C14"/>
    <w:rsid w:val="00CE0CE3"/>
    <w:rsid w:val="00CE1387"/>
    <w:rsid w:val="00CE166F"/>
    <w:rsid w:val="00CE1DC0"/>
    <w:rsid w:val="00CE1E2E"/>
    <w:rsid w:val="00CE2735"/>
    <w:rsid w:val="00CE32DA"/>
    <w:rsid w:val="00CE3849"/>
    <w:rsid w:val="00CE38E6"/>
    <w:rsid w:val="00CE3EDA"/>
    <w:rsid w:val="00CE4706"/>
    <w:rsid w:val="00CE5031"/>
    <w:rsid w:val="00CE56CF"/>
    <w:rsid w:val="00CE636F"/>
    <w:rsid w:val="00CE68C7"/>
    <w:rsid w:val="00CE6DCF"/>
    <w:rsid w:val="00CE7D32"/>
    <w:rsid w:val="00CF019B"/>
    <w:rsid w:val="00CF08E6"/>
    <w:rsid w:val="00CF09CA"/>
    <w:rsid w:val="00CF0AEE"/>
    <w:rsid w:val="00CF1071"/>
    <w:rsid w:val="00CF1ADA"/>
    <w:rsid w:val="00CF203E"/>
    <w:rsid w:val="00CF3F3F"/>
    <w:rsid w:val="00CF44C1"/>
    <w:rsid w:val="00CF4A92"/>
    <w:rsid w:val="00CF4DF2"/>
    <w:rsid w:val="00CF5289"/>
    <w:rsid w:val="00CF5873"/>
    <w:rsid w:val="00CF5D28"/>
    <w:rsid w:val="00CF5DD6"/>
    <w:rsid w:val="00CF6346"/>
    <w:rsid w:val="00CF65D1"/>
    <w:rsid w:val="00CF6C07"/>
    <w:rsid w:val="00CF6C9B"/>
    <w:rsid w:val="00CF72DE"/>
    <w:rsid w:val="00D002A9"/>
    <w:rsid w:val="00D0091E"/>
    <w:rsid w:val="00D00B00"/>
    <w:rsid w:val="00D00C21"/>
    <w:rsid w:val="00D013D4"/>
    <w:rsid w:val="00D021AE"/>
    <w:rsid w:val="00D02E14"/>
    <w:rsid w:val="00D0314D"/>
    <w:rsid w:val="00D0342C"/>
    <w:rsid w:val="00D03470"/>
    <w:rsid w:val="00D035C2"/>
    <w:rsid w:val="00D03789"/>
    <w:rsid w:val="00D03A85"/>
    <w:rsid w:val="00D03ABE"/>
    <w:rsid w:val="00D04F34"/>
    <w:rsid w:val="00D050C6"/>
    <w:rsid w:val="00D06562"/>
    <w:rsid w:val="00D06B53"/>
    <w:rsid w:val="00D07ADB"/>
    <w:rsid w:val="00D07B23"/>
    <w:rsid w:val="00D07DAA"/>
    <w:rsid w:val="00D1079B"/>
    <w:rsid w:val="00D10902"/>
    <w:rsid w:val="00D10F3E"/>
    <w:rsid w:val="00D11FFD"/>
    <w:rsid w:val="00D12400"/>
    <w:rsid w:val="00D1263A"/>
    <w:rsid w:val="00D12D97"/>
    <w:rsid w:val="00D1401D"/>
    <w:rsid w:val="00D14064"/>
    <w:rsid w:val="00D14752"/>
    <w:rsid w:val="00D14ACE"/>
    <w:rsid w:val="00D15A7B"/>
    <w:rsid w:val="00D15D17"/>
    <w:rsid w:val="00D16F35"/>
    <w:rsid w:val="00D16FA7"/>
    <w:rsid w:val="00D17069"/>
    <w:rsid w:val="00D1725A"/>
    <w:rsid w:val="00D173C7"/>
    <w:rsid w:val="00D17533"/>
    <w:rsid w:val="00D1773D"/>
    <w:rsid w:val="00D20E63"/>
    <w:rsid w:val="00D2113B"/>
    <w:rsid w:val="00D21196"/>
    <w:rsid w:val="00D211A4"/>
    <w:rsid w:val="00D211D6"/>
    <w:rsid w:val="00D21FDD"/>
    <w:rsid w:val="00D228D7"/>
    <w:rsid w:val="00D22E20"/>
    <w:rsid w:val="00D22FC5"/>
    <w:rsid w:val="00D23091"/>
    <w:rsid w:val="00D233F6"/>
    <w:rsid w:val="00D2352D"/>
    <w:rsid w:val="00D23636"/>
    <w:rsid w:val="00D23922"/>
    <w:rsid w:val="00D23B8A"/>
    <w:rsid w:val="00D23C49"/>
    <w:rsid w:val="00D2449C"/>
    <w:rsid w:val="00D24803"/>
    <w:rsid w:val="00D2508C"/>
    <w:rsid w:val="00D25264"/>
    <w:rsid w:val="00D25533"/>
    <w:rsid w:val="00D25CAC"/>
    <w:rsid w:val="00D261BA"/>
    <w:rsid w:val="00D26203"/>
    <w:rsid w:val="00D2667B"/>
    <w:rsid w:val="00D266E1"/>
    <w:rsid w:val="00D26ADA"/>
    <w:rsid w:val="00D270D9"/>
    <w:rsid w:val="00D27BFC"/>
    <w:rsid w:val="00D302FE"/>
    <w:rsid w:val="00D30704"/>
    <w:rsid w:val="00D30BA5"/>
    <w:rsid w:val="00D30FA6"/>
    <w:rsid w:val="00D31154"/>
    <w:rsid w:val="00D31E67"/>
    <w:rsid w:val="00D321D6"/>
    <w:rsid w:val="00D323F1"/>
    <w:rsid w:val="00D328A2"/>
    <w:rsid w:val="00D3292E"/>
    <w:rsid w:val="00D32EE1"/>
    <w:rsid w:val="00D332AE"/>
    <w:rsid w:val="00D3330C"/>
    <w:rsid w:val="00D33688"/>
    <w:rsid w:val="00D338BF"/>
    <w:rsid w:val="00D33BAF"/>
    <w:rsid w:val="00D33D0C"/>
    <w:rsid w:val="00D35188"/>
    <w:rsid w:val="00D3544D"/>
    <w:rsid w:val="00D35DE1"/>
    <w:rsid w:val="00D35F59"/>
    <w:rsid w:val="00D36106"/>
    <w:rsid w:val="00D367DA"/>
    <w:rsid w:val="00D37222"/>
    <w:rsid w:val="00D37925"/>
    <w:rsid w:val="00D402ED"/>
    <w:rsid w:val="00D4074B"/>
    <w:rsid w:val="00D41DC4"/>
    <w:rsid w:val="00D41F44"/>
    <w:rsid w:val="00D420F1"/>
    <w:rsid w:val="00D4246C"/>
    <w:rsid w:val="00D42898"/>
    <w:rsid w:val="00D432A4"/>
    <w:rsid w:val="00D4365E"/>
    <w:rsid w:val="00D43B0B"/>
    <w:rsid w:val="00D45E1A"/>
    <w:rsid w:val="00D46415"/>
    <w:rsid w:val="00D4676E"/>
    <w:rsid w:val="00D473C5"/>
    <w:rsid w:val="00D5000B"/>
    <w:rsid w:val="00D503E7"/>
    <w:rsid w:val="00D511BC"/>
    <w:rsid w:val="00D51B81"/>
    <w:rsid w:val="00D53B76"/>
    <w:rsid w:val="00D53CB2"/>
    <w:rsid w:val="00D53EA0"/>
    <w:rsid w:val="00D541C6"/>
    <w:rsid w:val="00D54207"/>
    <w:rsid w:val="00D54285"/>
    <w:rsid w:val="00D54396"/>
    <w:rsid w:val="00D54A20"/>
    <w:rsid w:val="00D54B3E"/>
    <w:rsid w:val="00D54BA1"/>
    <w:rsid w:val="00D5501C"/>
    <w:rsid w:val="00D55024"/>
    <w:rsid w:val="00D552E2"/>
    <w:rsid w:val="00D55944"/>
    <w:rsid w:val="00D563E3"/>
    <w:rsid w:val="00D5674B"/>
    <w:rsid w:val="00D57A6C"/>
    <w:rsid w:val="00D57B87"/>
    <w:rsid w:val="00D57F75"/>
    <w:rsid w:val="00D60150"/>
    <w:rsid w:val="00D60426"/>
    <w:rsid w:val="00D60C77"/>
    <w:rsid w:val="00D60E20"/>
    <w:rsid w:val="00D617D4"/>
    <w:rsid w:val="00D61C20"/>
    <w:rsid w:val="00D62353"/>
    <w:rsid w:val="00D63067"/>
    <w:rsid w:val="00D6340F"/>
    <w:rsid w:val="00D63474"/>
    <w:rsid w:val="00D6349D"/>
    <w:rsid w:val="00D63655"/>
    <w:rsid w:val="00D63AB7"/>
    <w:rsid w:val="00D63C45"/>
    <w:rsid w:val="00D64F96"/>
    <w:rsid w:val="00D653C1"/>
    <w:rsid w:val="00D65433"/>
    <w:rsid w:val="00D664EB"/>
    <w:rsid w:val="00D707D5"/>
    <w:rsid w:val="00D70B8F"/>
    <w:rsid w:val="00D7192E"/>
    <w:rsid w:val="00D71EDF"/>
    <w:rsid w:val="00D72050"/>
    <w:rsid w:val="00D7214B"/>
    <w:rsid w:val="00D72968"/>
    <w:rsid w:val="00D72EC4"/>
    <w:rsid w:val="00D73BEF"/>
    <w:rsid w:val="00D74B10"/>
    <w:rsid w:val="00D75F62"/>
    <w:rsid w:val="00D76634"/>
    <w:rsid w:val="00D7788A"/>
    <w:rsid w:val="00D808B5"/>
    <w:rsid w:val="00D809F8"/>
    <w:rsid w:val="00D80ADF"/>
    <w:rsid w:val="00D812DD"/>
    <w:rsid w:val="00D81704"/>
    <w:rsid w:val="00D817B6"/>
    <w:rsid w:val="00D820C7"/>
    <w:rsid w:val="00D82203"/>
    <w:rsid w:val="00D82C3A"/>
    <w:rsid w:val="00D830BD"/>
    <w:rsid w:val="00D83B88"/>
    <w:rsid w:val="00D83BEA"/>
    <w:rsid w:val="00D83ED5"/>
    <w:rsid w:val="00D8482A"/>
    <w:rsid w:val="00D85726"/>
    <w:rsid w:val="00D85FA3"/>
    <w:rsid w:val="00D86D39"/>
    <w:rsid w:val="00D879C4"/>
    <w:rsid w:val="00D879E3"/>
    <w:rsid w:val="00D87A31"/>
    <w:rsid w:val="00D9032D"/>
    <w:rsid w:val="00D9082C"/>
    <w:rsid w:val="00D90ABB"/>
    <w:rsid w:val="00D90DBE"/>
    <w:rsid w:val="00D90F30"/>
    <w:rsid w:val="00D9153C"/>
    <w:rsid w:val="00D91607"/>
    <w:rsid w:val="00D91627"/>
    <w:rsid w:val="00D916FF"/>
    <w:rsid w:val="00D917F1"/>
    <w:rsid w:val="00D918DE"/>
    <w:rsid w:val="00D92316"/>
    <w:rsid w:val="00D929AA"/>
    <w:rsid w:val="00D9329B"/>
    <w:rsid w:val="00D9394A"/>
    <w:rsid w:val="00D95B86"/>
    <w:rsid w:val="00D95F6A"/>
    <w:rsid w:val="00D96549"/>
    <w:rsid w:val="00D96DC5"/>
    <w:rsid w:val="00D96E28"/>
    <w:rsid w:val="00D96E4E"/>
    <w:rsid w:val="00D971B8"/>
    <w:rsid w:val="00D976FB"/>
    <w:rsid w:val="00DA0458"/>
    <w:rsid w:val="00DA0C26"/>
    <w:rsid w:val="00DA0C45"/>
    <w:rsid w:val="00DA0C46"/>
    <w:rsid w:val="00DA0C88"/>
    <w:rsid w:val="00DA11A1"/>
    <w:rsid w:val="00DA14E8"/>
    <w:rsid w:val="00DA1823"/>
    <w:rsid w:val="00DA1B36"/>
    <w:rsid w:val="00DA237B"/>
    <w:rsid w:val="00DA2515"/>
    <w:rsid w:val="00DA26C4"/>
    <w:rsid w:val="00DA2D1A"/>
    <w:rsid w:val="00DA388E"/>
    <w:rsid w:val="00DA39FD"/>
    <w:rsid w:val="00DA4771"/>
    <w:rsid w:val="00DA4A7C"/>
    <w:rsid w:val="00DA4E98"/>
    <w:rsid w:val="00DA6098"/>
    <w:rsid w:val="00DA653C"/>
    <w:rsid w:val="00DA6B0F"/>
    <w:rsid w:val="00DA721D"/>
    <w:rsid w:val="00DA7D98"/>
    <w:rsid w:val="00DB066F"/>
    <w:rsid w:val="00DB0AF9"/>
    <w:rsid w:val="00DB14F1"/>
    <w:rsid w:val="00DB1ACF"/>
    <w:rsid w:val="00DB1B6C"/>
    <w:rsid w:val="00DB21FC"/>
    <w:rsid w:val="00DB2883"/>
    <w:rsid w:val="00DB29DF"/>
    <w:rsid w:val="00DB2A44"/>
    <w:rsid w:val="00DB2C4C"/>
    <w:rsid w:val="00DB3302"/>
    <w:rsid w:val="00DB40D5"/>
    <w:rsid w:val="00DB4815"/>
    <w:rsid w:val="00DB4905"/>
    <w:rsid w:val="00DB4E70"/>
    <w:rsid w:val="00DB5011"/>
    <w:rsid w:val="00DB578F"/>
    <w:rsid w:val="00DB5CF1"/>
    <w:rsid w:val="00DB62F6"/>
    <w:rsid w:val="00DB6681"/>
    <w:rsid w:val="00DB66FA"/>
    <w:rsid w:val="00DB6A8E"/>
    <w:rsid w:val="00DB6A9F"/>
    <w:rsid w:val="00DB7652"/>
    <w:rsid w:val="00DB78E5"/>
    <w:rsid w:val="00DB79DE"/>
    <w:rsid w:val="00DB7F71"/>
    <w:rsid w:val="00DC0F62"/>
    <w:rsid w:val="00DC121C"/>
    <w:rsid w:val="00DC20AF"/>
    <w:rsid w:val="00DC23BF"/>
    <w:rsid w:val="00DC29B3"/>
    <w:rsid w:val="00DC2A0C"/>
    <w:rsid w:val="00DC36E8"/>
    <w:rsid w:val="00DC37D6"/>
    <w:rsid w:val="00DC3AA5"/>
    <w:rsid w:val="00DC4018"/>
    <w:rsid w:val="00DC4322"/>
    <w:rsid w:val="00DC48CE"/>
    <w:rsid w:val="00DC4B44"/>
    <w:rsid w:val="00DC4CEA"/>
    <w:rsid w:val="00DC54F9"/>
    <w:rsid w:val="00DC5AE4"/>
    <w:rsid w:val="00DC5F4E"/>
    <w:rsid w:val="00DC6EE7"/>
    <w:rsid w:val="00DC7308"/>
    <w:rsid w:val="00DC755E"/>
    <w:rsid w:val="00DC7785"/>
    <w:rsid w:val="00DC7801"/>
    <w:rsid w:val="00DC7B42"/>
    <w:rsid w:val="00DD09ED"/>
    <w:rsid w:val="00DD164D"/>
    <w:rsid w:val="00DD2121"/>
    <w:rsid w:val="00DD22FA"/>
    <w:rsid w:val="00DD2472"/>
    <w:rsid w:val="00DD276F"/>
    <w:rsid w:val="00DD27AD"/>
    <w:rsid w:val="00DD2961"/>
    <w:rsid w:val="00DD3072"/>
    <w:rsid w:val="00DD333C"/>
    <w:rsid w:val="00DD39F9"/>
    <w:rsid w:val="00DD47F1"/>
    <w:rsid w:val="00DD4A24"/>
    <w:rsid w:val="00DD6E40"/>
    <w:rsid w:val="00DD6F49"/>
    <w:rsid w:val="00DD7819"/>
    <w:rsid w:val="00DD7E7C"/>
    <w:rsid w:val="00DE088B"/>
    <w:rsid w:val="00DE0ACC"/>
    <w:rsid w:val="00DE0CB8"/>
    <w:rsid w:val="00DE18DA"/>
    <w:rsid w:val="00DE1CC3"/>
    <w:rsid w:val="00DE3D7E"/>
    <w:rsid w:val="00DE3EBB"/>
    <w:rsid w:val="00DE3F13"/>
    <w:rsid w:val="00DE4392"/>
    <w:rsid w:val="00DE4782"/>
    <w:rsid w:val="00DE4B4A"/>
    <w:rsid w:val="00DE503D"/>
    <w:rsid w:val="00DE5144"/>
    <w:rsid w:val="00DE5152"/>
    <w:rsid w:val="00DE5611"/>
    <w:rsid w:val="00DE5BA0"/>
    <w:rsid w:val="00DE5BC5"/>
    <w:rsid w:val="00DE6484"/>
    <w:rsid w:val="00DE7367"/>
    <w:rsid w:val="00DE77BA"/>
    <w:rsid w:val="00DE7A91"/>
    <w:rsid w:val="00DF130B"/>
    <w:rsid w:val="00DF1787"/>
    <w:rsid w:val="00DF1BDB"/>
    <w:rsid w:val="00DF2335"/>
    <w:rsid w:val="00DF2EA5"/>
    <w:rsid w:val="00DF3632"/>
    <w:rsid w:val="00DF3AF4"/>
    <w:rsid w:val="00DF3CF6"/>
    <w:rsid w:val="00DF48CB"/>
    <w:rsid w:val="00DF7D6A"/>
    <w:rsid w:val="00E0069E"/>
    <w:rsid w:val="00E00709"/>
    <w:rsid w:val="00E00B98"/>
    <w:rsid w:val="00E0119A"/>
    <w:rsid w:val="00E017FD"/>
    <w:rsid w:val="00E0199B"/>
    <w:rsid w:val="00E01D85"/>
    <w:rsid w:val="00E01EBC"/>
    <w:rsid w:val="00E02215"/>
    <w:rsid w:val="00E0265A"/>
    <w:rsid w:val="00E028BF"/>
    <w:rsid w:val="00E030F8"/>
    <w:rsid w:val="00E03123"/>
    <w:rsid w:val="00E03501"/>
    <w:rsid w:val="00E03BFE"/>
    <w:rsid w:val="00E044CB"/>
    <w:rsid w:val="00E044E5"/>
    <w:rsid w:val="00E0479F"/>
    <w:rsid w:val="00E04DA6"/>
    <w:rsid w:val="00E04EAE"/>
    <w:rsid w:val="00E04FCD"/>
    <w:rsid w:val="00E05523"/>
    <w:rsid w:val="00E058C5"/>
    <w:rsid w:val="00E05A91"/>
    <w:rsid w:val="00E06225"/>
    <w:rsid w:val="00E06381"/>
    <w:rsid w:val="00E0794C"/>
    <w:rsid w:val="00E1023D"/>
    <w:rsid w:val="00E104E0"/>
    <w:rsid w:val="00E1063A"/>
    <w:rsid w:val="00E11FA2"/>
    <w:rsid w:val="00E12140"/>
    <w:rsid w:val="00E12274"/>
    <w:rsid w:val="00E122C7"/>
    <w:rsid w:val="00E13CA4"/>
    <w:rsid w:val="00E14C6A"/>
    <w:rsid w:val="00E14E98"/>
    <w:rsid w:val="00E158E7"/>
    <w:rsid w:val="00E15B22"/>
    <w:rsid w:val="00E15BE2"/>
    <w:rsid w:val="00E16588"/>
    <w:rsid w:val="00E16A2A"/>
    <w:rsid w:val="00E1722F"/>
    <w:rsid w:val="00E17B13"/>
    <w:rsid w:val="00E17BBA"/>
    <w:rsid w:val="00E20C72"/>
    <w:rsid w:val="00E21206"/>
    <w:rsid w:val="00E21534"/>
    <w:rsid w:val="00E225E7"/>
    <w:rsid w:val="00E2270B"/>
    <w:rsid w:val="00E22B6D"/>
    <w:rsid w:val="00E22BCC"/>
    <w:rsid w:val="00E23872"/>
    <w:rsid w:val="00E23E19"/>
    <w:rsid w:val="00E24004"/>
    <w:rsid w:val="00E241C6"/>
    <w:rsid w:val="00E243E8"/>
    <w:rsid w:val="00E24C55"/>
    <w:rsid w:val="00E24CA8"/>
    <w:rsid w:val="00E24F6E"/>
    <w:rsid w:val="00E255A5"/>
    <w:rsid w:val="00E259FB"/>
    <w:rsid w:val="00E25BD1"/>
    <w:rsid w:val="00E26EE4"/>
    <w:rsid w:val="00E30454"/>
    <w:rsid w:val="00E30C6E"/>
    <w:rsid w:val="00E31145"/>
    <w:rsid w:val="00E31449"/>
    <w:rsid w:val="00E32135"/>
    <w:rsid w:val="00E32810"/>
    <w:rsid w:val="00E32E44"/>
    <w:rsid w:val="00E34971"/>
    <w:rsid w:val="00E34F82"/>
    <w:rsid w:val="00E35965"/>
    <w:rsid w:val="00E35DB1"/>
    <w:rsid w:val="00E367FF"/>
    <w:rsid w:val="00E369E5"/>
    <w:rsid w:val="00E37B5B"/>
    <w:rsid w:val="00E4053E"/>
    <w:rsid w:val="00E423CF"/>
    <w:rsid w:val="00E4260A"/>
    <w:rsid w:val="00E4283F"/>
    <w:rsid w:val="00E439C2"/>
    <w:rsid w:val="00E447DF"/>
    <w:rsid w:val="00E450F5"/>
    <w:rsid w:val="00E4532D"/>
    <w:rsid w:val="00E45845"/>
    <w:rsid w:val="00E45FC3"/>
    <w:rsid w:val="00E46064"/>
    <w:rsid w:val="00E46CDC"/>
    <w:rsid w:val="00E47204"/>
    <w:rsid w:val="00E474B4"/>
    <w:rsid w:val="00E47922"/>
    <w:rsid w:val="00E47A23"/>
    <w:rsid w:val="00E50216"/>
    <w:rsid w:val="00E507F7"/>
    <w:rsid w:val="00E50883"/>
    <w:rsid w:val="00E50E1E"/>
    <w:rsid w:val="00E50EB7"/>
    <w:rsid w:val="00E51C47"/>
    <w:rsid w:val="00E52164"/>
    <w:rsid w:val="00E5272A"/>
    <w:rsid w:val="00E54277"/>
    <w:rsid w:val="00E546E3"/>
    <w:rsid w:val="00E54D1B"/>
    <w:rsid w:val="00E55651"/>
    <w:rsid w:val="00E55A88"/>
    <w:rsid w:val="00E55AC6"/>
    <w:rsid w:val="00E563B9"/>
    <w:rsid w:val="00E563FD"/>
    <w:rsid w:val="00E56766"/>
    <w:rsid w:val="00E57174"/>
    <w:rsid w:val="00E57A2C"/>
    <w:rsid w:val="00E57B7B"/>
    <w:rsid w:val="00E57E98"/>
    <w:rsid w:val="00E57EB7"/>
    <w:rsid w:val="00E61284"/>
    <w:rsid w:val="00E61B6C"/>
    <w:rsid w:val="00E61BB4"/>
    <w:rsid w:val="00E61E85"/>
    <w:rsid w:val="00E6200D"/>
    <w:rsid w:val="00E62517"/>
    <w:rsid w:val="00E62CDE"/>
    <w:rsid w:val="00E63491"/>
    <w:rsid w:val="00E63A16"/>
    <w:rsid w:val="00E63C50"/>
    <w:rsid w:val="00E64074"/>
    <w:rsid w:val="00E64338"/>
    <w:rsid w:val="00E644C6"/>
    <w:rsid w:val="00E648B5"/>
    <w:rsid w:val="00E65115"/>
    <w:rsid w:val="00E656F4"/>
    <w:rsid w:val="00E66193"/>
    <w:rsid w:val="00E6633B"/>
    <w:rsid w:val="00E66424"/>
    <w:rsid w:val="00E66E33"/>
    <w:rsid w:val="00E67412"/>
    <w:rsid w:val="00E678EF"/>
    <w:rsid w:val="00E701B5"/>
    <w:rsid w:val="00E702CA"/>
    <w:rsid w:val="00E709ED"/>
    <w:rsid w:val="00E70AA6"/>
    <w:rsid w:val="00E7397F"/>
    <w:rsid w:val="00E73B2D"/>
    <w:rsid w:val="00E74016"/>
    <w:rsid w:val="00E74048"/>
    <w:rsid w:val="00E74505"/>
    <w:rsid w:val="00E74C9A"/>
    <w:rsid w:val="00E75294"/>
    <w:rsid w:val="00E75708"/>
    <w:rsid w:val="00E75D33"/>
    <w:rsid w:val="00E76BB7"/>
    <w:rsid w:val="00E76D3C"/>
    <w:rsid w:val="00E76E0C"/>
    <w:rsid w:val="00E7709C"/>
    <w:rsid w:val="00E77511"/>
    <w:rsid w:val="00E81784"/>
    <w:rsid w:val="00E81DF2"/>
    <w:rsid w:val="00E8270C"/>
    <w:rsid w:val="00E828DB"/>
    <w:rsid w:val="00E8298A"/>
    <w:rsid w:val="00E82ADB"/>
    <w:rsid w:val="00E8426D"/>
    <w:rsid w:val="00E8429E"/>
    <w:rsid w:val="00E843D4"/>
    <w:rsid w:val="00E85086"/>
    <w:rsid w:val="00E853B6"/>
    <w:rsid w:val="00E86461"/>
    <w:rsid w:val="00E86A23"/>
    <w:rsid w:val="00E86A34"/>
    <w:rsid w:val="00E86B54"/>
    <w:rsid w:val="00E8768D"/>
    <w:rsid w:val="00E90C9C"/>
    <w:rsid w:val="00E91247"/>
    <w:rsid w:val="00E91BC8"/>
    <w:rsid w:val="00E92164"/>
    <w:rsid w:val="00E92BDC"/>
    <w:rsid w:val="00E931E3"/>
    <w:rsid w:val="00E93BF1"/>
    <w:rsid w:val="00E93D00"/>
    <w:rsid w:val="00E93E15"/>
    <w:rsid w:val="00E941A6"/>
    <w:rsid w:val="00E9429B"/>
    <w:rsid w:val="00E94906"/>
    <w:rsid w:val="00E94F7C"/>
    <w:rsid w:val="00E95AFB"/>
    <w:rsid w:val="00E96DFC"/>
    <w:rsid w:val="00E96EC3"/>
    <w:rsid w:val="00E97812"/>
    <w:rsid w:val="00E9788D"/>
    <w:rsid w:val="00E97AD0"/>
    <w:rsid w:val="00EA0E28"/>
    <w:rsid w:val="00EA123C"/>
    <w:rsid w:val="00EA1778"/>
    <w:rsid w:val="00EA1A12"/>
    <w:rsid w:val="00EA1E59"/>
    <w:rsid w:val="00EA221F"/>
    <w:rsid w:val="00EA2461"/>
    <w:rsid w:val="00EA2ACC"/>
    <w:rsid w:val="00EA3626"/>
    <w:rsid w:val="00EA3854"/>
    <w:rsid w:val="00EA3A72"/>
    <w:rsid w:val="00EA3DB3"/>
    <w:rsid w:val="00EA4263"/>
    <w:rsid w:val="00EA595E"/>
    <w:rsid w:val="00EA60BD"/>
    <w:rsid w:val="00EA75AB"/>
    <w:rsid w:val="00EA7704"/>
    <w:rsid w:val="00EA7A0B"/>
    <w:rsid w:val="00EB097F"/>
    <w:rsid w:val="00EB0DEE"/>
    <w:rsid w:val="00EB1496"/>
    <w:rsid w:val="00EB24AD"/>
    <w:rsid w:val="00EB2E21"/>
    <w:rsid w:val="00EB2F30"/>
    <w:rsid w:val="00EB471D"/>
    <w:rsid w:val="00EB4F54"/>
    <w:rsid w:val="00EB5132"/>
    <w:rsid w:val="00EB523B"/>
    <w:rsid w:val="00EB58A4"/>
    <w:rsid w:val="00EB595B"/>
    <w:rsid w:val="00EB5C71"/>
    <w:rsid w:val="00EB6B85"/>
    <w:rsid w:val="00EB6D80"/>
    <w:rsid w:val="00EB7FFE"/>
    <w:rsid w:val="00EC0AA0"/>
    <w:rsid w:val="00EC0CC5"/>
    <w:rsid w:val="00EC0F7D"/>
    <w:rsid w:val="00EC1D8F"/>
    <w:rsid w:val="00EC1D9F"/>
    <w:rsid w:val="00EC1E89"/>
    <w:rsid w:val="00EC36D1"/>
    <w:rsid w:val="00EC392E"/>
    <w:rsid w:val="00EC452E"/>
    <w:rsid w:val="00EC4564"/>
    <w:rsid w:val="00EC4E51"/>
    <w:rsid w:val="00EC57F3"/>
    <w:rsid w:val="00EC58A5"/>
    <w:rsid w:val="00EC59D3"/>
    <w:rsid w:val="00EC5CC3"/>
    <w:rsid w:val="00EC6A60"/>
    <w:rsid w:val="00EC6C3D"/>
    <w:rsid w:val="00EC6F29"/>
    <w:rsid w:val="00EC6F43"/>
    <w:rsid w:val="00EC7994"/>
    <w:rsid w:val="00ED0675"/>
    <w:rsid w:val="00ED06A0"/>
    <w:rsid w:val="00ED0AEF"/>
    <w:rsid w:val="00ED0E99"/>
    <w:rsid w:val="00ED0F5A"/>
    <w:rsid w:val="00ED147A"/>
    <w:rsid w:val="00ED15D2"/>
    <w:rsid w:val="00ED2021"/>
    <w:rsid w:val="00ED20C6"/>
    <w:rsid w:val="00ED2489"/>
    <w:rsid w:val="00ED2684"/>
    <w:rsid w:val="00ED2992"/>
    <w:rsid w:val="00ED2A88"/>
    <w:rsid w:val="00ED2D92"/>
    <w:rsid w:val="00ED2E11"/>
    <w:rsid w:val="00ED4874"/>
    <w:rsid w:val="00ED4E3B"/>
    <w:rsid w:val="00ED5000"/>
    <w:rsid w:val="00ED5198"/>
    <w:rsid w:val="00ED52ED"/>
    <w:rsid w:val="00ED596A"/>
    <w:rsid w:val="00ED5E64"/>
    <w:rsid w:val="00ED60E6"/>
    <w:rsid w:val="00ED674D"/>
    <w:rsid w:val="00ED697D"/>
    <w:rsid w:val="00ED6E03"/>
    <w:rsid w:val="00ED7697"/>
    <w:rsid w:val="00ED770D"/>
    <w:rsid w:val="00ED78B1"/>
    <w:rsid w:val="00ED795D"/>
    <w:rsid w:val="00ED7BE2"/>
    <w:rsid w:val="00ED7FCA"/>
    <w:rsid w:val="00EE015E"/>
    <w:rsid w:val="00EE01CE"/>
    <w:rsid w:val="00EE0447"/>
    <w:rsid w:val="00EE06ED"/>
    <w:rsid w:val="00EE0C21"/>
    <w:rsid w:val="00EE12AC"/>
    <w:rsid w:val="00EE15FA"/>
    <w:rsid w:val="00EE1E9C"/>
    <w:rsid w:val="00EE2AC7"/>
    <w:rsid w:val="00EE3436"/>
    <w:rsid w:val="00EE351F"/>
    <w:rsid w:val="00EE3B5C"/>
    <w:rsid w:val="00EE4C62"/>
    <w:rsid w:val="00EE4D91"/>
    <w:rsid w:val="00EE4F9F"/>
    <w:rsid w:val="00EE5768"/>
    <w:rsid w:val="00EE610F"/>
    <w:rsid w:val="00EE6CEB"/>
    <w:rsid w:val="00EE7305"/>
    <w:rsid w:val="00EE796E"/>
    <w:rsid w:val="00EE79CC"/>
    <w:rsid w:val="00EF0A21"/>
    <w:rsid w:val="00EF0F46"/>
    <w:rsid w:val="00EF1140"/>
    <w:rsid w:val="00EF1172"/>
    <w:rsid w:val="00EF13C6"/>
    <w:rsid w:val="00EF1AFA"/>
    <w:rsid w:val="00EF1BCB"/>
    <w:rsid w:val="00EF1C93"/>
    <w:rsid w:val="00EF1F9E"/>
    <w:rsid w:val="00EF20BD"/>
    <w:rsid w:val="00EF2C6A"/>
    <w:rsid w:val="00EF348A"/>
    <w:rsid w:val="00EF38E4"/>
    <w:rsid w:val="00EF3DCA"/>
    <w:rsid w:val="00EF3FE2"/>
    <w:rsid w:val="00EF406F"/>
    <w:rsid w:val="00EF4DD2"/>
    <w:rsid w:val="00EF4E04"/>
    <w:rsid w:val="00EF52DA"/>
    <w:rsid w:val="00EF5867"/>
    <w:rsid w:val="00EF5F18"/>
    <w:rsid w:val="00EF600D"/>
    <w:rsid w:val="00EF69C3"/>
    <w:rsid w:val="00EF6F2E"/>
    <w:rsid w:val="00EF73A7"/>
    <w:rsid w:val="00EF7C16"/>
    <w:rsid w:val="00F00E88"/>
    <w:rsid w:val="00F01488"/>
    <w:rsid w:val="00F01A04"/>
    <w:rsid w:val="00F01AF0"/>
    <w:rsid w:val="00F0235E"/>
    <w:rsid w:val="00F02938"/>
    <w:rsid w:val="00F03B21"/>
    <w:rsid w:val="00F03CB1"/>
    <w:rsid w:val="00F047BE"/>
    <w:rsid w:val="00F04C27"/>
    <w:rsid w:val="00F04E32"/>
    <w:rsid w:val="00F05034"/>
    <w:rsid w:val="00F05FE1"/>
    <w:rsid w:val="00F06447"/>
    <w:rsid w:val="00F06EE4"/>
    <w:rsid w:val="00F07C3A"/>
    <w:rsid w:val="00F10012"/>
    <w:rsid w:val="00F1026F"/>
    <w:rsid w:val="00F1060C"/>
    <w:rsid w:val="00F109C1"/>
    <w:rsid w:val="00F11D72"/>
    <w:rsid w:val="00F1227F"/>
    <w:rsid w:val="00F12C4E"/>
    <w:rsid w:val="00F13441"/>
    <w:rsid w:val="00F13CDB"/>
    <w:rsid w:val="00F13EA2"/>
    <w:rsid w:val="00F140FA"/>
    <w:rsid w:val="00F143AA"/>
    <w:rsid w:val="00F1442F"/>
    <w:rsid w:val="00F14440"/>
    <w:rsid w:val="00F152EA"/>
    <w:rsid w:val="00F15318"/>
    <w:rsid w:val="00F16635"/>
    <w:rsid w:val="00F17C41"/>
    <w:rsid w:val="00F17F32"/>
    <w:rsid w:val="00F20162"/>
    <w:rsid w:val="00F2051D"/>
    <w:rsid w:val="00F2055F"/>
    <w:rsid w:val="00F205DA"/>
    <w:rsid w:val="00F21222"/>
    <w:rsid w:val="00F214B7"/>
    <w:rsid w:val="00F216DA"/>
    <w:rsid w:val="00F22094"/>
    <w:rsid w:val="00F2214A"/>
    <w:rsid w:val="00F22A73"/>
    <w:rsid w:val="00F231F9"/>
    <w:rsid w:val="00F23B08"/>
    <w:rsid w:val="00F23CD5"/>
    <w:rsid w:val="00F23E76"/>
    <w:rsid w:val="00F25286"/>
    <w:rsid w:val="00F25705"/>
    <w:rsid w:val="00F27264"/>
    <w:rsid w:val="00F27BF3"/>
    <w:rsid w:val="00F27F65"/>
    <w:rsid w:val="00F3005A"/>
    <w:rsid w:val="00F3055A"/>
    <w:rsid w:val="00F30B6C"/>
    <w:rsid w:val="00F322B2"/>
    <w:rsid w:val="00F33B39"/>
    <w:rsid w:val="00F33C75"/>
    <w:rsid w:val="00F33CC1"/>
    <w:rsid w:val="00F33E5A"/>
    <w:rsid w:val="00F34830"/>
    <w:rsid w:val="00F352F4"/>
    <w:rsid w:val="00F36937"/>
    <w:rsid w:val="00F37013"/>
    <w:rsid w:val="00F3741A"/>
    <w:rsid w:val="00F37481"/>
    <w:rsid w:val="00F37970"/>
    <w:rsid w:val="00F37AE5"/>
    <w:rsid w:val="00F41185"/>
    <w:rsid w:val="00F41798"/>
    <w:rsid w:val="00F4179D"/>
    <w:rsid w:val="00F42094"/>
    <w:rsid w:val="00F42452"/>
    <w:rsid w:val="00F42C03"/>
    <w:rsid w:val="00F43B2D"/>
    <w:rsid w:val="00F43D0F"/>
    <w:rsid w:val="00F43DE7"/>
    <w:rsid w:val="00F4451E"/>
    <w:rsid w:val="00F44E98"/>
    <w:rsid w:val="00F4503E"/>
    <w:rsid w:val="00F4508C"/>
    <w:rsid w:val="00F4555E"/>
    <w:rsid w:val="00F4607B"/>
    <w:rsid w:val="00F46421"/>
    <w:rsid w:val="00F469F7"/>
    <w:rsid w:val="00F47681"/>
    <w:rsid w:val="00F50064"/>
    <w:rsid w:val="00F506C5"/>
    <w:rsid w:val="00F50844"/>
    <w:rsid w:val="00F50A0A"/>
    <w:rsid w:val="00F50A27"/>
    <w:rsid w:val="00F51670"/>
    <w:rsid w:val="00F51D65"/>
    <w:rsid w:val="00F51FB3"/>
    <w:rsid w:val="00F524B8"/>
    <w:rsid w:val="00F52E71"/>
    <w:rsid w:val="00F52FED"/>
    <w:rsid w:val="00F53104"/>
    <w:rsid w:val="00F53575"/>
    <w:rsid w:val="00F53837"/>
    <w:rsid w:val="00F53DB0"/>
    <w:rsid w:val="00F54978"/>
    <w:rsid w:val="00F55460"/>
    <w:rsid w:val="00F55A6B"/>
    <w:rsid w:val="00F55D75"/>
    <w:rsid w:val="00F55E16"/>
    <w:rsid w:val="00F57192"/>
    <w:rsid w:val="00F5734E"/>
    <w:rsid w:val="00F5740B"/>
    <w:rsid w:val="00F574C7"/>
    <w:rsid w:val="00F57637"/>
    <w:rsid w:val="00F57B76"/>
    <w:rsid w:val="00F60344"/>
    <w:rsid w:val="00F60F17"/>
    <w:rsid w:val="00F6121E"/>
    <w:rsid w:val="00F613B0"/>
    <w:rsid w:val="00F61418"/>
    <w:rsid w:val="00F61852"/>
    <w:rsid w:val="00F61C9E"/>
    <w:rsid w:val="00F6239F"/>
    <w:rsid w:val="00F629CE"/>
    <w:rsid w:val="00F6382F"/>
    <w:rsid w:val="00F63E31"/>
    <w:rsid w:val="00F6458C"/>
    <w:rsid w:val="00F6470C"/>
    <w:rsid w:val="00F64960"/>
    <w:rsid w:val="00F64A99"/>
    <w:rsid w:val="00F64B57"/>
    <w:rsid w:val="00F64C1A"/>
    <w:rsid w:val="00F64D2A"/>
    <w:rsid w:val="00F66350"/>
    <w:rsid w:val="00F66473"/>
    <w:rsid w:val="00F6663C"/>
    <w:rsid w:val="00F66A12"/>
    <w:rsid w:val="00F66FB0"/>
    <w:rsid w:val="00F67396"/>
    <w:rsid w:val="00F67554"/>
    <w:rsid w:val="00F67755"/>
    <w:rsid w:val="00F67966"/>
    <w:rsid w:val="00F67B74"/>
    <w:rsid w:val="00F70378"/>
    <w:rsid w:val="00F7048D"/>
    <w:rsid w:val="00F705A3"/>
    <w:rsid w:val="00F70A5C"/>
    <w:rsid w:val="00F70B22"/>
    <w:rsid w:val="00F70BC6"/>
    <w:rsid w:val="00F713C0"/>
    <w:rsid w:val="00F7189C"/>
    <w:rsid w:val="00F71AA6"/>
    <w:rsid w:val="00F71AE6"/>
    <w:rsid w:val="00F72B76"/>
    <w:rsid w:val="00F72EDB"/>
    <w:rsid w:val="00F73681"/>
    <w:rsid w:val="00F73746"/>
    <w:rsid w:val="00F73B9E"/>
    <w:rsid w:val="00F73CD9"/>
    <w:rsid w:val="00F74658"/>
    <w:rsid w:val="00F74995"/>
    <w:rsid w:val="00F7520C"/>
    <w:rsid w:val="00F752B8"/>
    <w:rsid w:val="00F75B85"/>
    <w:rsid w:val="00F76715"/>
    <w:rsid w:val="00F76986"/>
    <w:rsid w:val="00F76BBB"/>
    <w:rsid w:val="00F76D2C"/>
    <w:rsid w:val="00F77256"/>
    <w:rsid w:val="00F77A1F"/>
    <w:rsid w:val="00F77BA5"/>
    <w:rsid w:val="00F77FA2"/>
    <w:rsid w:val="00F80093"/>
    <w:rsid w:val="00F80312"/>
    <w:rsid w:val="00F817D5"/>
    <w:rsid w:val="00F81BAA"/>
    <w:rsid w:val="00F81D41"/>
    <w:rsid w:val="00F825E8"/>
    <w:rsid w:val="00F831DA"/>
    <w:rsid w:val="00F83268"/>
    <w:rsid w:val="00F83444"/>
    <w:rsid w:val="00F83787"/>
    <w:rsid w:val="00F837A4"/>
    <w:rsid w:val="00F83C5A"/>
    <w:rsid w:val="00F83C96"/>
    <w:rsid w:val="00F83D77"/>
    <w:rsid w:val="00F8415D"/>
    <w:rsid w:val="00F854BD"/>
    <w:rsid w:val="00F856F1"/>
    <w:rsid w:val="00F87545"/>
    <w:rsid w:val="00F87EE2"/>
    <w:rsid w:val="00F904A7"/>
    <w:rsid w:val="00F916F0"/>
    <w:rsid w:val="00F91FB8"/>
    <w:rsid w:val="00F92531"/>
    <w:rsid w:val="00F9329E"/>
    <w:rsid w:val="00F93DA3"/>
    <w:rsid w:val="00F93EC5"/>
    <w:rsid w:val="00F943EF"/>
    <w:rsid w:val="00F94B4B"/>
    <w:rsid w:val="00F94FCB"/>
    <w:rsid w:val="00F950FB"/>
    <w:rsid w:val="00F95892"/>
    <w:rsid w:val="00F960CF"/>
    <w:rsid w:val="00F963C4"/>
    <w:rsid w:val="00F96481"/>
    <w:rsid w:val="00F97585"/>
    <w:rsid w:val="00F97B8D"/>
    <w:rsid w:val="00FA0366"/>
    <w:rsid w:val="00FA0A20"/>
    <w:rsid w:val="00FA0C85"/>
    <w:rsid w:val="00FA0DB0"/>
    <w:rsid w:val="00FA2DD3"/>
    <w:rsid w:val="00FA3013"/>
    <w:rsid w:val="00FA4DE4"/>
    <w:rsid w:val="00FA4F2B"/>
    <w:rsid w:val="00FA5E36"/>
    <w:rsid w:val="00FA6637"/>
    <w:rsid w:val="00FA66DB"/>
    <w:rsid w:val="00FA6FD2"/>
    <w:rsid w:val="00FA7794"/>
    <w:rsid w:val="00FA7975"/>
    <w:rsid w:val="00FA7EB5"/>
    <w:rsid w:val="00FB0811"/>
    <w:rsid w:val="00FB095D"/>
    <w:rsid w:val="00FB10B5"/>
    <w:rsid w:val="00FB234F"/>
    <w:rsid w:val="00FB2C26"/>
    <w:rsid w:val="00FB3828"/>
    <w:rsid w:val="00FB4A79"/>
    <w:rsid w:val="00FB5A9C"/>
    <w:rsid w:val="00FB5FE9"/>
    <w:rsid w:val="00FB6408"/>
    <w:rsid w:val="00FB732F"/>
    <w:rsid w:val="00FB734E"/>
    <w:rsid w:val="00FB756B"/>
    <w:rsid w:val="00FB7878"/>
    <w:rsid w:val="00FB789F"/>
    <w:rsid w:val="00FB7F52"/>
    <w:rsid w:val="00FC0FA4"/>
    <w:rsid w:val="00FC1582"/>
    <w:rsid w:val="00FC1EA2"/>
    <w:rsid w:val="00FC31BE"/>
    <w:rsid w:val="00FC32A8"/>
    <w:rsid w:val="00FC332B"/>
    <w:rsid w:val="00FC3549"/>
    <w:rsid w:val="00FC3A6E"/>
    <w:rsid w:val="00FC3B40"/>
    <w:rsid w:val="00FC3E24"/>
    <w:rsid w:val="00FC4031"/>
    <w:rsid w:val="00FC43BC"/>
    <w:rsid w:val="00FC446E"/>
    <w:rsid w:val="00FC48A9"/>
    <w:rsid w:val="00FC4B4F"/>
    <w:rsid w:val="00FC5C80"/>
    <w:rsid w:val="00FC68B1"/>
    <w:rsid w:val="00FC6A54"/>
    <w:rsid w:val="00FC6E55"/>
    <w:rsid w:val="00FC7C79"/>
    <w:rsid w:val="00FC7F02"/>
    <w:rsid w:val="00FD0691"/>
    <w:rsid w:val="00FD0A98"/>
    <w:rsid w:val="00FD1522"/>
    <w:rsid w:val="00FD193B"/>
    <w:rsid w:val="00FD275D"/>
    <w:rsid w:val="00FD3111"/>
    <w:rsid w:val="00FD324A"/>
    <w:rsid w:val="00FD4026"/>
    <w:rsid w:val="00FD40E2"/>
    <w:rsid w:val="00FD4855"/>
    <w:rsid w:val="00FD4D5A"/>
    <w:rsid w:val="00FD5297"/>
    <w:rsid w:val="00FD55D1"/>
    <w:rsid w:val="00FD5AED"/>
    <w:rsid w:val="00FD5B38"/>
    <w:rsid w:val="00FD5B6C"/>
    <w:rsid w:val="00FD5C4B"/>
    <w:rsid w:val="00FD65DE"/>
    <w:rsid w:val="00FD73D0"/>
    <w:rsid w:val="00FD7A78"/>
    <w:rsid w:val="00FE09C0"/>
    <w:rsid w:val="00FE1333"/>
    <w:rsid w:val="00FE1C4F"/>
    <w:rsid w:val="00FE20A3"/>
    <w:rsid w:val="00FE2B6A"/>
    <w:rsid w:val="00FE30C3"/>
    <w:rsid w:val="00FE3F9D"/>
    <w:rsid w:val="00FE4469"/>
    <w:rsid w:val="00FE4A35"/>
    <w:rsid w:val="00FE4EC9"/>
    <w:rsid w:val="00FE5077"/>
    <w:rsid w:val="00FE5246"/>
    <w:rsid w:val="00FE5460"/>
    <w:rsid w:val="00FE56D4"/>
    <w:rsid w:val="00FE5BC3"/>
    <w:rsid w:val="00FE60E9"/>
    <w:rsid w:val="00FE611E"/>
    <w:rsid w:val="00FE643E"/>
    <w:rsid w:val="00FE6C7B"/>
    <w:rsid w:val="00FE6F49"/>
    <w:rsid w:val="00FE7839"/>
    <w:rsid w:val="00FE7F86"/>
    <w:rsid w:val="00FF014A"/>
    <w:rsid w:val="00FF057D"/>
    <w:rsid w:val="00FF13E9"/>
    <w:rsid w:val="00FF15E9"/>
    <w:rsid w:val="00FF16C6"/>
    <w:rsid w:val="00FF1837"/>
    <w:rsid w:val="00FF1EF6"/>
    <w:rsid w:val="00FF1F78"/>
    <w:rsid w:val="00FF2AC6"/>
    <w:rsid w:val="00FF3489"/>
    <w:rsid w:val="00FF3911"/>
    <w:rsid w:val="00FF3914"/>
    <w:rsid w:val="00FF3D24"/>
    <w:rsid w:val="00FF49B0"/>
    <w:rsid w:val="00FF4BB9"/>
    <w:rsid w:val="00FF5274"/>
    <w:rsid w:val="00FF53A3"/>
    <w:rsid w:val="00FF55CA"/>
    <w:rsid w:val="00FF5A1A"/>
    <w:rsid w:val="00FF667A"/>
    <w:rsid w:val="00FF7372"/>
    <w:rsid w:val="00FF7E7A"/>
    <w:rsid w:val="020F103D"/>
    <w:rsid w:val="050B287F"/>
    <w:rsid w:val="05137986"/>
    <w:rsid w:val="059934CE"/>
    <w:rsid w:val="06A92629"/>
    <w:rsid w:val="08283748"/>
    <w:rsid w:val="08AC6127"/>
    <w:rsid w:val="093920B1"/>
    <w:rsid w:val="0B510CC2"/>
    <w:rsid w:val="0D261824"/>
    <w:rsid w:val="0E975351"/>
    <w:rsid w:val="0EFB1BB6"/>
    <w:rsid w:val="12AF6E80"/>
    <w:rsid w:val="13A6434C"/>
    <w:rsid w:val="144E4536"/>
    <w:rsid w:val="158E72E0"/>
    <w:rsid w:val="15BE0B85"/>
    <w:rsid w:val="170D6AF1"/>
    <w:rsid w:val="184D696C"/>
    <w:rsid w:val="18571052"/>
    <w:rsid w:val="1C782A98"/>
    <w:rsid w:val="1D210A3A"/>
    <w:rsid w:val="1D543089"/>
    <w:rsid w:val="1EFA1543"/>
    <w:rsid w:val="1F9008C8"/>
    <w:rsid w:val="23660C32"/>
    <w:rsid w:val="23F6340C"/>
    <w:rsid w:val="25D440C8"/>
    <w:rsid w:val="277F6D69"/>
    <w:rsid w:val="278B636C"/>
    <w:rsid w:val="28175C81"/>
    <w:rsid w:val="2BCE2F24"/>
    <w:rsid w:val="2CA0316D"/>
    <w:rsid w:val="2D03015C"/>
    <w:rsid w:val="2EA17C2D"/>
    <w:rsid w:val="2EB2217A"/>
    <w:rsid w:val="2F653689"/>
    <w:rsid w:val="2FA72D6F"/>
    <w:rsid w:val="31C47F29"/>
    <w:rsid w:val="33A930DF"/>
    <w:rsid w:val="36154C31"/>
    <w:rsid w:val="36A209E6"/>
    <w:rsid w:val="37353608"/>
    <w:rsid w:val="37797D54"/>
    <w:rsid w:val="39FB25CF"/>
    <w:rsid w:val="3AE00613"/>
    <w:rsid w:val="3B00776B"/>
    <w:rsid w:val="3B4007CD"/>
    <w:rsid w:val="3BF44A5F"/>
    <w:rsid w:val="3CCA6B38"/>
    <w:rsid w:val="40030C05"/>
    <w:rsid w:val="41AD023F"/>
    <w:rsid w:val="43DC22D6"/>
    <w:rsid w:val="44EE29D7"/>
    <w:rsid w:val="46F81F5C"/>
    <w:rsid w:val="49B52386"/>
    <w:rsid w:val="4CE54D31"/>
    <w:rsid w:val="50C043CE"/>
    <w:rsid w:val="51580C20"/>
    <w:rsid w:val="52D10231"/>
    <w:rsid w:val="53B4545D"/>
    <w:rsid w:val="56DF0A43"/>
    <w:rsid w:val="588640BF"/>
    <w:rsid w:val="5A156118"/>
    <w:rsid w:val="5B011845"/>
    <w:rsid w:val="5BD528DB"/>
    <w:rsid w:val="5C9522CF"/>
    <w:rsid w:val="5CF35EB7"/>
    <w:rsid w:val="5D927F68"/>
    <w:rsid w:val="5DF96A86"/>
    <w:rsid w:val="607466A0"/>
    <w:rsid w:val="6286386E"/>
    <w:rsid w:val="65B732B6"/>
    <w:rsid w:val="68514D47"/>
    <w:rsid w:val="6A415844"/>
    <w:rsid w:val="6AA33E09"/>
    <w:rsid w:val="6C380AB9"/>
    <w:rsid w:val="6E495413"/>
    <w:rsid w:val="71956BFC"/>
    <w:rsid w:val="71C71516"/>
    <w:rsid w:val="721A39D5"/>
    <w:rsid w:val="727B38BE"/>
    <w:rsid w:val="740B2A1F"/>
    <w:rsid w:val="74373814"/>
    <w:rsid w:val="789457B0"/>
    <w:rsid w:val="78B673FD"/>
    <w:rsid w:val="7BE33A60"/>
    <w:rsid w:val="7CA7661E"/>
    <w:rsid w:val="7CBB3234"/>
    <w:rsid w:val="7CC876FF"/>
    <w:rsid w:val="7FC05F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9"/>
    <w:pPr>
      <w:ind w:left="890"/>
      <w:outlineLvl w:val="0"/>
    </w:pPr>
    <w:rPr>
      <w:rFonts w:ascii="微软雅黑" w:hAnsi="微软雅黑" w:eastAsia="微软雅黑" w:cs="微软雅黑"/>
      <w:sz w:val="36"/>
      <w:szCs w:val="36"/>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Cambria" w:hAnsi="Cambria"/>
      <w:b/>
      <w:bCs/>
      <w:sz w:val="28"/>
      <w:szCs w:val="28"/>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next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Document Map"/>
    <w:basedOn w:val="1"/>
    <w:link w:val="25"/>
    <w:unhideWhenUsed/>
    <w:qFormat/>
    <w:uiPriority w:val="0"/>
    <w:pPr>
      <w:autoSpaceDE/>
      <w:autoSpaceDN/>
      <w:spacing w:line="360" w:lineRule="auto"/>
      <w:ind w:firstLine="200" w:firstLineChars="200"/>
      <w:jc w:val="both"/>
    </w:pPr>
    <w:rPr>
      <w:rFonts w:cs="Times New Roman"/>
      <w:sz w:val="18"/>
      <w:szCs w:val="18"/>
      <w:lang w:val="zh-CN" w:eastAsia="zh-CN"/>
    </w:rPr>
  </w:style>
  <w:style w:type="paragraph" w:styleId="7">
    <w:name w:val="Body Text"/>
    <w:basedOn w:val="1"/>
    <w:qFormat/>
    <w:uiPriority w:val="1"/>
    <w:rPr>
      <w:rFonts w:ascii="黑体" w:hAnsi="黑体" w:eastAsia="黑体" w:cs="黑体"/>
      <w:sz w:val="30"/>
      <w:szCs w:val="30"/>
    </w:rPr>
  </w:style>
  <w:style w:type="paragraph" w:styleId="8">
    <w:name w:val="Balloon Text"/>
    <w:basedOn w:val="1"/>
    <w:link w:val="26"/>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pPr>
    <w:rPr>
      <w:sz w:val="18"/>
      <w:szCs w:val="18"/>
    </w:rPr>
  </w:style>
  <w:style w:type="paragraph" w:styleId="10">
    <w:name w:val="Body Text 2"/>
    <w:basedOn w:val="1"/>
    <w:qFormat/>
    <w:uiPriority w:val="0"/>
    <w:pPr>
      <w:spacing w:after="120" w:afterLines="0" w:line="480" w:lineRule="auto"/>
    </w:pPr>
    <w:rPr>
      <w:rFonts w:eastAsia="仿宋_GB231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Hyperlink"/>
    <w:basedOn w:val="12"/>
    <w:unhideWhenUsed/>
    <w:qFormat/>
    <w:uiPriority w:val="99"/>
    <w:rPr>
      <w:color w:val="0000FF"/>
      <w:u w:val="single"/>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
    <w:name w:val="Table Normal"/>
    <w:unhideWhenUsed/>
    <w:qFormat/>
    <w:uiPriority w:val="2"/>
    <w:tblPr>
      <w:tblLayout w:type="fixed"/>
      <w:tblCellMar>
        <w:top w:w="0" w:type="dxa"/>
        <w:left w:w="0" w:type="dxa"/>
        <w:bottom w:w="0" w:type="dxa"/>
        <w:right w:w="0" w:type="dxa"/>
      </w:tblCellMar>
    </w:tblPr>
  </w:style>
  <w:style w:type="paragraph" w:customStyle="1" w:styleId="17">
    <w:name w:val="List Paragraph"/>
    <w:basedOn w:val="1"/>
    <w:qFormat/>
    <w:uiPriority w:val="1"/>
  </w:style>
  <w:style w:type="paragraph" w:customStyle="1" w:styleId="18">
    <w:name w:val="Table Paragraph"/>
    <w:basedOn w:val="1"/>
    <w:qFormat/>
    <w:uiPriority w:val="1"/>
  </w:style>
  <w:style w:type="character" w:customStyle="1" w:styleId="19">
    <w:name w:val="页眉 字符"/>
    <w:basedOn w:val="12"/>
    <w:link w:val="2"/>
    <w:qFormat/>
    <w:uiPriority w:val="99"/>
    <w:rPr>
      <w:rFonts w:ascii="宋体" w:hAnsi="宋体" w:eastAsia="宋体" w:cs="宋体"/>
      <w:sz w:val="18"/>
      <w:szCs w:val="18"/>
    </w:rPr>
  </w:style>
  <w:style w:type="character" w:customStyle="1" w:styleId="20">
    <w:name w:val="页脚 字符"/>
    <w:basedOn w:val="12"/>
    <w:link w:val="9"/>
    <w:qFormat/>
    <w:uiPriority w:val="99"/>
    <w:rPr>
      <w:rFonts w:ascii="宋体" w:hAnsi="宋体" w:eastAsia="宋体" w:cs="宋体"/>
      <w:sz w:val="18"/>
      <w:szCs w:val="18"/>
    </w:rPr>
  </w:style>
  <w:style w:type="paragraph" w:customStyle="1" w:styleId="21">
    <w:name w:val="表格内文字"/>
    <w:basedOn w:val="1"/>
    <w:next w:val="1"/>
    <w:link w:val="22"/>
    <w:qFormat/>
    <w:uiPriority w:val="0"/>
    <w:pPr>
      <w:widowControl/>
      <w:autoSpaceDE/>
      <w:autoSpaceDN/>
      <w:jc w:val="center"/>
    </w:pPr>
    <w:rPr>
      <w:rFonts w:ascii="Times New Roman" w:hAnsi="Times New Roman" w:cs="Times New Roman"/>
      <w:sz w:val="21"/>
      <w:szCs w:val="21"/>
      <w:lang w:val="zh-CN" w:eastAsia="zh-CN"/>
    </w:rPr>
  </w:style>
  <w:style w:type="character" w:customStyle="1" w:styleId="22">
    <w:name w:val="表格内文字 字符"/>
    <w:link w:val="21"/>
    <w:qFormat/>
    <w:uiPriority w:val="0"/>
    <w:rPr>
      <w:rFonts w:ascii="Times New Roman" w:hAnsi="Times New Roman" w:eastAsia="宋体" w:cs="Times New Roman"/>
      <w:sz w:val="21"/>
      <w:szCs w:val="21"/>
      <w:lang w:val="zh-CN" w:eastAsia="zh-CN"/>
    </w:rPr>
  </w:style>
  <w:style w:type="paragraph" w:customStyle="1" w:styleId="23">
    <w:name w:val="小标题"/>
    <w:next w:val="1"/>
    <w:link w:val="24"/>
    <w:qFormat/>
    <w:uiPriority w:val="0"/>
    <w:pPr>
      <w:widowControl/>
      <w:autoSpaceDE/>
      <w:autoSpaceDN/>
      <w:spacing w:line="360" w:lineRule="auto"/>
      <w:ind w:firstLine="200" w:firstLineChars="200"/>
    </w:pPr>
    <w:rPr>
      <w:rFonts w:ascii="Times New Roman" w:hAnsi="Times New Roman" w:eastAsia="宋体" w:cs="Times New Roman"/>
      <w:b/>
      <w:bCs/>
      <w:sz w:val="24"/>
      <w:szCs w:val="32"/>
      <w:lang w:val="en-US" w:eastAsia="zh-CN" w:bidi="ar-SA"/>
    </w:rPr>
  </w:style>
  <w:style w:type="character" w:customStyle="1" w:styleId="24">
    <w:name w:val="小标题 字符"/>
    <w:link w:val="23"/>
    <w:qFormat/>
    <w:uiPriority w:val="0"/>
    <w:rPr>
      <w:rFonts w:ascii="Times New Roman" w:hAnsi="Times New Roman" w:eastAsia="宋体" w:cs="Times New Roman"/>
      <w:b/>
      <w:bCs/>
      <w:sz w:val="24"/>
      <w:szCs w:val="32"/>
      <w:lang w:eastAsia="zh-CN"/>
    </w:rPr>
  </w:style>
  <w:style w:type="character" w:customStyle="1" w:styleId="25">
    <w:name w:val="文档结构图 字符"/>
    <w:basedOn w:val="12"/>
    <w:link w:val="6"/>
    <w:qFormat/>
    <w:uiPriority w:val="0"/>
    <w:rPr>
      <w:rFonts w:ascii="宋体" w:hAnsi="宋体" w:eastAsia="宋体" w:cs="Times New Roman"/>
      <w:sz w:val="18"/>
      <w:szCs w:val="18"/>
      <w:lang w:val="zh-CN" w:eastAsia="zh-CN"/>
    </w:rPr>
  </w:style>
  <w:style w:type="character" w:customStyle="1" w:styleId="26">
    <w:name w:val="批注框文本 字符"/>
    <w:basedOn w:val="12"/>
    <w:link w:val="8"/>
    <w:semiHidden/>
    <w:qFormat/>
    <w:uiPriority w:val="99"/>
    <w:rPr>
      <w:rFonts w:ascii="宋体" w:hAnsi="宋体" w:eastAsia="宋体" w:cs="宋体"/>
      <w:sz w:val="18"/>
      <w:szCs w:val="18"/>
    </w:rPr>
  </w:style>
  <w:style w:type="paragraph" w:customStyle="1" w:styleId="27">
    <w:name w:val="Default"/>
    <w:basedOn w:val="28"/>
    <w:next w:val="1"/>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28">
    <w:name w:val="纯文本1"/>
    <w:basedOn w:val="1"/>
    <w:qFormat/>
    <w:uiPriority w:val="0"/>
    <w:pPr>
      <w:adjustRightInd w:val="0"/>
      <w:textAlignment w:val="baseline"/>
    </w:pPr>
    <w:rPr>
      <w:rFonts w:ascii="宋体" w:hAnsi="Courier New"/>
      <w:szCs w:val="20"/>
    </w:rPr>
  </w:style>
  <w:style w:type="paragraph" w:customStyle="1" w:styleId="29">
    <w:name w:val="正文新"/>
    <w:basedOn w:val="30"/>
    <w:qFormat/>
    <w:uiPriority w:val="0"/>
    <w:rPr>
      <w:color w:val="auto"/>
    </w:rPr>
  </w:style>
  <w:style w:type="paragraph" w:customStyle="1" w:styleId="30">
    <w:name w:val="正文1"/>
    <w:basedOn w:val="1"/>
    <w:qFormat/>
    <w:uiPriority w:val="0"/>
    <w:pPr>
      <w:widowControl/>
      <w:spacing w:line="460" w:lineRule="exact"/>
      <w:ind w:firstLine="480" w:firstLineChars="200"/>
    </w:pPr>
    <w:rPr>
      <w:rFonts w:ascii="Times New Roman" w:hAnsi="Times New Roman" w:eastAsia="宋体" w:cs="宋体"/>
      <w:color w:val="000000"/>
      <w:kern w:val="0"/>
      <w:sz w:val="24"/>
      <w:szCs w:val="26"/>
    </w:rPr>
  </w:style>
  <w:style w:type="paragraph" w:customStyle="1" w:styleId="31">
    <w:name w:val="表格内容1"/>
    <w:basedOn w:val="1"/>
    <w:qFormat/>
    <w:uiPriority w:val="0"/>
    <w:pPr>
      <w:widowControl/>
      <w:spacing w:line="300" w:lineRule="exact"/>
      <w:jc w:val="center"/>
    </w:pPr>
    <w:rPr>
      <w:rFonts w:ascii="Times New Roman" w:hAnsi="Times New Roman" w:eastAsia="宋体" w:cs="Times New Roman"/>
      <w:kern w:val="0"/>
      <w:szCs w:val="21"/>
      <w:lang w:eastAsia="en-US" w:bidi="en-US"/>
    </w:rPr>
  </w:style>
  <w:style w:type="paragraph" w:customStyle="1" w:styleId="32">
    <w:name w:val="表头"/>
    <w:basedOn w:val="10"/>
    <w:next w:val="1"/>
    <w:qFormat/>
    <w:uiPriority w:val="99"/>
    <w:pPr>
      <w:adjustRightInd w:val="0"/>
      <w:snapToGrid w:val="0"/>
      <w:ind w:firstLine="120" w:firstLineChars="50"/>
      <w:jc w:val="center"/>
    </w:pPr>
    <w:rPr>
      <w:rFonts w:ascii="黑体" w:hAnsi="黑体" w:eastAsia="黑体"/>
      <w:bCs/>
      <w:kern w:val="0"/>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E29F3-B077-4352-8971-70865F914C6B}">
  <ds:schemaRefs/>
</ds:datastoreItem>
</file>

<file path=docProps/app.xml><?xml version="1.0" encoding="utf-8"?>
<Properties xmlns="http://schemas.openxmlformats.org/officeDocument/2006/extended-properties" xmlns:vt="http://schemas.openxmlformats.org/officeDocument/2006/docPropsVTypes">
  <Template>Normal</Template>
  <Pages>31</Pages>
  <Words>20477</Words>
  <Characters>22600</Characters>
  <Lines>209</Lines>
  <Paragraphs>58</Paragraphs>
  <TotalTime>2</TotalTime>
  <ScaleCrop>false</ScaleCrop>
  <LinksUpToDate>false</LinksUpToDate>
  <CharactersWithSpaces>22999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2021-03-16T16:30:00Z</dcterms:created>
  <dc:creator>lhj</dc:creator>
  <cp:lastModifiedBy>隐居世界</cp:lastModifiedBy>
  <dcterms:modified xsi:type="dcterms:W3CDTF">2023-12-12T03:23:49Z</dcterms:modified>
  <cp:revision>13323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2019</vt:lpwstr>
  </property>
  <property fmtid="{D5CDD505-2E9C-101B-9397-08002B2CF9AE}" pid="4" name="LastSaved">
    <vt:filetime>2021-03-16T00:00:00Z</vt:filetime>
  </property>
  <property fmtid="{D5CDD505-2E9C-101B-9397-08002B2CF9AE}" pid="5" name="KSOProductBuildVer">
    <vt:lpwstr>2052-11.8.2.8053</vt:lpwstr>
  </property>
  <property fmtid="{D5CDD505-2E9C-101B-9397-08002B2CF9AE}" pid="6" name="ICV">
    <vt:lpwstr>8B59A0BD118D4E0486F0ABE94DB837EE</vt:lpwstr>
  </property>
</Properties>
</file>