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中央服务业发展资金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新源县商务和工业信息化局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新源县商务和工业信息化局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2024年，我县使用中央服务业发展资金290.52万元，支持县域商业建设。其中区域绩效目标：1.以乡镇为重点，升级改造一批商贸中心、超市、集贸市场等，发展连锁经营和电子商务，改善农村商业设施和公共服务短板；2.完善县乡村物流配送体系，加强资源整合，发展共同配送，畅通工业品下乡和农产品进城渠道，带动农民增收和农村消费。其中项目实施物乡镇商贸中心覆盖率提高3.5个百分点，项目促进农村增收效果明显，全面城乡消费品零售额增收对比，基本持平。</w:t>
        <w:br/>
        <w:t>2.项目主要内容：</w:t>
        <w:br/>
        <w:t>项目主要内容：根据自治区《关于拨付2024年度服务业发展资金（第二批）的通知》（新财企〔2024〕126号）现有关规定，经研究，现下达2024年度服务业发展资金预算。</w:t>
        <w:br/>
        <w:t>2024年度服务业发展资金290.52万元，其中：新源县宇珏再生资源回收有限公司33.7万元，新源县领尚美商贸有限公司158.88万元，新源县鼎美商贸有限公司97.94万元。</w:t>
        <w:br/>
        <w:t>项目实施情况：补助发放申报情况：本项目于2024年10由新源县宇珏再生资源回收有限公司，新源县领尚美商贸有限公司、新源县鼎美商贸有限公司填报新疆维吾尔自治区县域商业体系建设项目申报，首次发放申请并报新源县商务和工业信息化局和新源县财政局和新源县分管财务领导审批通过。</w:t>
        <w:br/>
        <w:t>补助发放实施情况：本项目于2024年12月19日为新源县宇珏再生资源回收有限公司拨付中央服务业发展资金33.7万元，新源县领尚美商贸有限公司拨付中央服务业发展资金158.88万元，新源县鼎美商贸有限公司拨付中央服务业发展资金97.94万元。</w:t>
        <w:br/>
        <w:t>3.资金投入和使用情况 </w:t>
        <w:br/>
        <w:t>（1）资金投入情况</w:t>
        <w:br/>
        <w:t>该项目年初预算数0万元，预算追加数290.52万元，全年预算数290.52万元，该项目资金已全部落实到位，资金来源为财政拨款。</w:t>
        <w:br/>
        <w:t>（2）资金使用情况</w:t>
        <w:br/>
        <w:t>该项目年初预算数0万元，预算追加数290.52万元，全年预算数290.52万元，全年执行数290.52万元，预算执行率为100%（预算执行率=全年执行数/全年预算数），主要用于：新源县宇珏再生资源回收有限公司拨付中央服务业发展资金33.7万元，新源县领尚美商贸有限公司拨付中央服务业发展资金158.88万元，新源县鼎美商贸有限公司拨付中央服务业发展资金97.94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根据新财企﹝2024﹞126号文《关于拨付2024年度服务业发展资金（第二批）的通知》通过对服务行业企业的专项资金扶持，打造县域商业体系建设，农村消费提质增量，培育一批特色明显的地方典型。</w:t>
        <w:br/>
        <w:t>2.阶段性目标</w:t>
        <w:br/>
        <w:t>2024年12月19日新源县宇珏再生资源回收有限公司拨付中央服务业发展资金33.7万元，新源县领尚美商贸有限公司拨付中央服务业发展资金158.88万元，新源县鼎美商贸有限公司拨付中央服务业发展资金97.94万元。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中央服务业发展资金及其预算执行情况。该项目由新源县商务和工业信息化局负责实施，旨在通过对服务行业企业的专项资金扶持，打造县域商业体系建设，农村消费提质增量，培育一批特色明显的地方典型。项目预算涵盖从2024年10至2024年12月的全部资金投入与支出，涉及资金总额为290.52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（4）社会、经济等影响：考察项目对社会、经济等方面的综合影响。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中央服务业发展资金旨在通过对服务行业企业的专项资金扶持，打造县域商业体系建设，农村消费提质增量，培育一批特色明显的地方典型。等方面表现出色，达到了预期的标准与要求。同时，项目也在商贸领域取得了显著的成效，如家电家具回收服务覆盖率明显增加，促进农民增收效果显著等。</w:t>
        <w:br/>
        <w:t>在项目管理方面，新源县商务和工业信息化局通过有效的规划、组织与协调，项目得以顺利实施，并在预算与时间上保持了良好的控制。</w:t>
        <w:br/>
        <w:t>从项目效益的角度来看，本项目不仅实现了预期的社会效益、经济效益等方面产生了积极的影响。具体而言，城乡消费品零售额增速对比基本持平，促进农民增收效果显著等方面的提升，为项目的利益相关者带来了实实在在的利益。</w:t>
        <w:br/>
        <w:t>综上所述，中央服务业发展资金在绩效评价中表现出色，达到了项目的预期目标，并在多个方面取得了显著的成效。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100%。项目过程类指标权重为20分，得分为20分，得分率为100%。项目产出类指标权重为40分，得分为40分，得分率为100%。项目效益类指标权重为20分，得分为20分，得分率为100%。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本项目总投资290.52万元，财政资金及时足额到位，到位率100%，预算资金按计划进度执行。</w:t>
        <w:br/>
        <w:t>（2）预算执行率</w:t>
        <w:br/>
        <w:t>预算编制较为详细，项目资金支出总体能够按照预算执行，预算资金支出290.52万元，预算执行率为100%。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项目产出类指标包括产出数量、产出质量、产出时效、产出成本四方面的内容，由6个三级指标构成，权重分为40分，实际得分40分，得分率为100%。具体产出指标完成情况如下：</w:t>
        <w:br/>
        <w:t>①数量指标：</w:t>
        <w:br/>
        <w:t>指标1：县级物流配送中心新增改造数量，指标值：&gt;=1个，实际完成值：1个 ，指标完成率100%，偏差0%。</w:t>
        <w:br/>
        <w:t>指标2：农村网络零售额同比增速，指标值：&gt;=1%，实际完成值：1% ，指标完成率100%，偏差0%。</w:t>
        <w:br/>
        <w:t>指标3：家电家具回收中转站新增改造数量，指标值：&gt;=1个，实际完成值：1个 ，指标完成率100%，偏差0%。</w:t>
        <w:br/>
        <w:t>②质量指标：</w:t>
        <w:br/>
        <w:t>指标1：乡镇商贸中心覆盖率提高，指标值：&gt;=3.5%，实际完成值：3.5% ，指标完成率100%，偏差0%。</w:t>
        <w:br/>
        <w:t>指标2：县域商品和服务销售额提高，指标值：&lt;=3个百分点，实际完成值：3个百分点 ，指标完成率100%，偏差0%。</w:t>
        <w:br/>
        <w:t>指标3：家具家电回收覆盖率，指标值：明显增加，实际完成值：明显增加，指标完成率100%，偏差0%</w:t>
        <w:br/>
        <w:t>④成本指标：</w:t>
        <w:br/>
        <w:t>指标1：拨付新源县领尚美商贸有限公司资金，指标值：&lt;=158.88万元，实际完成值：158.88万元，指标完成率100%，偏差0%。</w:t>
        <w:br/>
        <w:t>指标2：拨付新源县鼎美商贸有限公司资金，指标值：&lt;=97.94万元，实际完成值：97.94万元，指标完成率100%，偏差0%。</w:t>
        <w:br/>
        <w:t>指标3：拨付新源县宁钰再生资源回收有限公司资金，指标值：&lt;=33.70万元，实际完成值：33.70万元，指标完成率100%，偏差0%。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项目效益类指标包括项目实施效益和满意度两方面的内容，由3个三级指标构成，权重分为20分，实际得分20分，得分率为100%。具体效益指标及满意度指标完成情况如下：</w:t>
        <w:br/>
        <w:t>1.实施效益</w:t>
        <w:br/>
        <w:t>①经济效益指标：</w:t>
        <w:br/>
        <w:t>指标1：城乡消费零售额增速对比，指标值：基本持平，实际完成值：基本持平，指标完成率100%，偏差0%。</w:t>
        <w:br/>
        <w:t>②社会效益指标：</w:t>
        <w:br/>
        <w:t>指标1：促进农民增收，指标值：效果显著，实际完成值：效果显著，指标完成率100%，偏差0%。</w:t>
        <w:br/>
        <w:t>指标1：农村网商（含社交、移动电商用户）数量同比增速，指标值：&gt;=1%，实际完成值：1%，指标完成率100%，偏差0%。</w:t>
        <w:br/>
        <w:t>2.满意度</w:t>
        <w:br/>
        <w:t>指标1：服务对象对项目的满意度，指标值：&gt;=80%，实际完成值：100%，指标完成率125%，偏差0%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我们将进一步加强资金管理、项目管理，用制度、用规范来有效提高项目进度，专人负责资金、专人负责项目现场管理，确保该项目在既定时间内完成所有工程量，达到预期效果。（二）存在的问题及原因分析</w:t>
        <w:br/>
        <w:t>存在的问题：</w:t>
        <w:br/>
        <w:t>项目管理制度需增加，经查阅项目资料，发现新源县商务和信息化局缺失项目管理制度。</w:t>
        <w:br/>
        <w:t>改进措施：在以后的项目实施中积极的制定相关的管理制度。</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设定绩效目标，是财政支出绩效管理工作的起点，是提高财政资金使用绩效的基准性指标，本质上也是部门预算编审的重要工作内容。设定绩效目标应符合以下原则: </w:t>
        <w:br/>
        <w:t>1、指向明确。绩效目标要符合经济和社会发展规划、部门职能及事业发展规划，并与相应的财政支出范围、方向、效果紧密相关。</w:t>
        <w:br/>
        <w:t xml:space="preserve">2、具体细化。绩效目标应当从数量、质量、成本和时效等方面 进行细化剖析，尽量对关键性的要素指标进行定量表述，不能以量 化形式表述的，可以采用定性的分级分档形式表述。 </w:t>
        <w:br/>
        <w:t>3、合理可行。制定绩效目标要经过科学预测和调查研究，绩效 目标要符合客观实际。</w:t>
        <w:br/>
        <w:t>4、相应匹配。绩效目标要与供给资金量相匹配，与工作任务的 实施期限相对应，与后续管理使用的成本投入相衔接。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