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新源县第五中学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新源县第五中学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雷倩倩</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项目实施情况：1、托管服务覆盖情况：7-9年级有课后托管服务需求的学生。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该项目年初预算数61.60万元，全年预算数61.60万元，该项目资金已全部落实到位，资金来源为其他资金。</w:t>
        <w:br/>
        <w:t>（2）资金使用情况</w:t>
        <w:br/>
        <w:t>该项目年初预算数61.60万元，全年预算数61.60万元，，全年执行数61.69万元，预算执行率为100.15%，主要用于：总收入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及时发放100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及时发放111名教职工课后托管费，充分调动教师参与课后服务工作的积极性，保障教职工利益，助力课后服务工作高效，提高课后服务质量和水平，提高教职工满意度，推动学校课后服务工作可持续发展。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第五中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61.69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在项目管理方面，新源县第五中学通过有效的规划、组织与协调，项目得以顺利实施，并在预算与时间上保持了良好的控制。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99.82分，属于“优”。其中，项目决策类指标权重为20分，得分为 20分，得分率为 100%。项目过程类指标权重为20分，得分为20分，得分率为 100%。项目产出类指标权重为40分，得分为39.82分，得分率为99.55%。项目效益类指标权重为20分，得分为20分，得分率为100%。具体打分情况详见：附件1综合评分表。</w:t>
        <w:br/>
        <w:t>表1综合评分表</w:t>
        <w:br/>
        <w:t>一级指标	权重分	得分</w:t>
        <w:br/>
        <w:t>项目决策	20	20</w:t>
        <w:br/>
        <w:t>项目过程	20	20</w:t>
        <w:br/>
        <w:t>项目产出	40	39.82</w:t>
        <w:br/>
        <w:t>项目效益	20	20</w:t>
        <w:br/>
        <w:t>合计	100	99.82</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项目决策类指标包括项目立项、绩效目标和资金投入三方面的内容，由6个三级指标构成，权重分值为20分，实际得分19分，得分率为95%。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项目过程类指标包括资金管理和组织实施两方面的内容，由5个三级指标构成，权重分值为20分，实际得分19分，得分率为95%。</w:t>
        <w:br/>
        <w:t>1.资金管理</w:t>
        <w:br/>
        <w:t>（1）资金到位率</w:t>
        <w:br/>
        <w:t>本项目总投资70.15万元，单位资金及时足额到位，到位率113.88%，预算资金按计划进度执行。</w:t>
        <w:br/>
        <w:t>（2）预算执行率</w:t>
        <w:br/>
        <w:t>预算编制较为详细，项目资金支出总体能够按照预算执行，预算资金支出61.69万元，预算执行率为100.15%。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项目产出类指标包括产出数量、产出质量、产出时效、产出成本四方面的内容，由4个三级指标构成，权重分为40分，实际得分39.82分，得分率为99.55%。具体产出指标完成情况如下：</w:t>
        <w:br/>
        <w:t>①数量指标：</w:t>
        <w:br/>
        <w:t>指标1：托管费发放人数，指标值：≧100人，实际完成值：111人，指标完成率111%，偏差11%，偏差原因：优化服务质量，丰富课程内容，依据学生兴趣和需求，增设了特色托管课程，课程增加，参与托管教师人数增加。</w:t>
        <w:br/>
        <w:t>指标2：资金发放次数，指标值：≧2次，实际完成值：2次：指标完成率100%，偏差0%。</w:t>
        <w:br/>
        <w:t>②质量指标：</w:t>
        <w:br/>
        <w:t>指标1：课后托管服务资金发放准确率，指标值：≧90%，实际完成值：100%，指标完成率111%，偏差11%，偏差原因：学校细化了托管费发放方案，明确了核算标准，规范了发放流程，保障了资金发放的公正性和合理性。</w:t>
        <w:br/>
        <w:t>③时效指标：</w:t>
        <w:br/>
        <w:t>指标1：资金发放及时率，指标值：=100%，实际完成值：100%。指标完成率100%，偏差0%。</w:t>
        <w:br/>
        <w:t>④成本指标：</w:t>
        <w:br/>
        <w:t>指标1：劳务费发放比例，指标值：≦95%，实际完成值：94.18%，指标完成率99.14%，偏差0.86%，偏差原因：义务教育经费项目中，除了学生课后服务托管费还包含税务返还手续费，劳务费占课后服务托管费95%，加上税务返还手续费算比利时，占比降低。</w:t>
        <w:br/>
        <w:t>指标2：办公费支付比例，指标值：≦5%，实际完成值：4.86%，指标完成率97.2%，偏差2.8%，偏差原因：义务教育经费项目中，除了学生课后服务托管费还包含税务返还手续费，税务返还手续费也用于支付各类办公费，所以办公费支付比例增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指标1：学生满意度，指标值：≧95%，实际完成值：96%，指标完成率 101.05%，偏差1.05%，偏差原因：优化服务质量，丰富课程内容，依据学生兴趣和需求，增设了特色托管课程，提高了学生满意度。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