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卫生工作经费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新源县人民医院</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新源县人民医院</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姚能强</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</w:t>
        <w:br/>
        <w:t>1.项目背景</w:t>
        <w:br/>
        <w:t>根据新机编办字{2008}58号 关于新源县卫生局所属事业单位机构编制方案的批复，新源县人民医院主要职责任务：负责制定医疗年度计划、长远规划、总结和主要工作部署；负责区域内重大医疗卫生突发事件和重大YQ、疾病的发生、蔓延，应对突发公共卫生事件；负责新源县区域内医疗、科研、教学及社区医疗诊疗和救护等卫生服务工作。</w:t>
        <w:br/>
        <w:t>2.项目主要内容：</w:t>
        <w:br/>
        <w:t>项目主要内容：以“千县工程”发展机遇，使学科建设“长板更长，短板补足”，以优质医院服务体系建设为主体，大力发展人才培养、学科建设，促进医院全面高质量发展，努力创建“三级医院”。根据“十四五临床重点专科建设”围绕产科、儿科、精神、感染、麻醉、重症、病理、检验等基础专科或传统薄弱领域加强建设。新建临床营养科、中医科、心身医学科，打造皮肤美容中心，拓展医疗服务能力。推动NICU（新生儿重症监护）和CCU（心脏重症监护）建设，立足服务县域内急危重症需求。建立县域内标准化医护技能培训中心，强化县域内医疗人才培养，提升医护技能。</w:t>
        <w:br/>
        <w:t>项目实施情况：全年按规定每月按时发放在编人员304人、聘用人员486人各类工资及社保等人员经费12次，保证在编人员人均发放工资标准≤10000元/人/月、聘用人员人均发放工资标准≤4000元/人/月；同时在运转经费方面保障2024年单位办公费、印刷费、咨询费、手续费、水电费、邮电费、取暖费、物业费、差费等30项工作经费正常运转，每月运转经费每月支出标准控制在小于1583万元/月。</w:t>
        <w:br/>
        <w:t>3.资金投入和使用情况</w:t>
        <w:br/>
        <w:t>（1）资金投入情况</w:t>
        <w:br/>
        <w:t>该项目年初预算数26000万元，全年预算数25206.35万元，该项目资金已全部落实到位，资金来源为其他资金。</w:t>
        <w:br/>
        <w:t>（2）资金使用情况</w:t>
        <w:br/>
        <w:t>该项目年初预算数26000万元，全年预算25206.35万元，全年执行数25206.35万元，预算执行率为96.95%，主要用于：全年按规定每月按时发放在编人员304人、聘用人员486人各类工资及社保等人员经费12次，保证在编人员人均发放工资标准≤10000元/人/月、聘用人员人均发放工资标准≤4000元/人/月；同时在运转经费方面保障2024年单位办公费、印刷费、咨询费、手续费、水电费、邮电费、取暖费、物业费、差费等30项工作经费正常运转，每月运转经费每月支出标准控制在小于1583万元/月。</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以“千县工程”发展机遇，使学科建设“长板更长，短板补足”，以优质医院服务体系建设为主体，大力发展人才培养、学科建设，促进医院全面高质量发展，努力创建“三级医院”。根据“十四五临床重点专科建设”围绕产科、儿科、精神、感染、麻醉、重症、病理、检验等基础专科或传统薄弱领域加强建设。新建临床营养科、中医科、心身医学科，打造皮肤美容中心，拓展医疗服务能力。通过推动NICU（新生儿重症监护）和CCU（心脏重症监护）建设，立足服务县域内急危重症需求。建立县域内标准化医护技能培训中心，强化县域内医疗人才培养，提升医护技能，达到提高医疗卫生服务质量及医疗服务水平的效果。</w:t>
        <w:br/>
        <w:t>2.阶段性目标全年按规定每月按时发放在编人员304人、聘用人员486人各类工资及社保等人员经费12次，保证在编人员人均发放工资标准≤10000元/人/月、聘用人员人均发放工资标准≤4000元/人/月；同时在运转经费方面保障2024年单位办公费、印刷费、咨询费、手续费、水电费、邮电费、取暖费、物业费、差费等30项工作经费正常运转，每月运转经费每月支出标准控制在小于1583万元/月。</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经济效益等维度，力求全方位反映项目的绩效状况。同时，对于每个指标的评价标准和数据来源均进行了明确说明，确保评价结果的客观性和可追溯性。</w:t>
        <w:br/>
        <w:t>在数据收集与分析环节，采用了多种科学合理的方法，如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通过对项目预算执行情况及各项绩效目标达成程度的系统性分析，全面、客观地评估项目在预定周期内的实施效果，包括经济效益等维度指标，为项目后续的改进与优化提供科学依据。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卫生工作经费及其预算执行情况。该项目由新源县人民医院财务科负责实施，旨在以“千县工程”发展机遇，使学科建设“长板更长，短板补足”，以优质医院服务体系建设为主体，大力发展人才培养、学科建设，促进医院全面高质量发展，努力创建“三级医院”。根据“十四五临床重点专科建设”围绕产科、儿科、精神、感染、麻醉、重症、病理、检验等基础专科或传统薄弱领域加强建设。新建临床营养科、中医科、心身医学科，打造皮肤美容中心，拓展医疗服务能力。推动NICU（新生儿重症监护）和CCU（心脏重症监护）建设，立足服务县域内急危重症需求。建立县域内标准化医护技能培训中心，强化县域内医疗人才培养，提升医护技能。。项目预算涵盖从2024年1月1日至2024年12月31日的全部资金投入与支出，涉及资金总额为24778.56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（二）绩效评价原则、评价指标体系（详情见表1）、评价方法、评价标准。</w:t>
        <w:b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 ，具体评价方法如下：</w:t>
        <w:br/>
        <w:t>比较法。是指将实施情况与绩效目标、历史情况、不同部门和地区同类支出情况进行比较的方法。</w:t>
        <w:br/>
        <w:t>此项目评级方法选定为比较法，年初设定的绩效目标是依据近三年的平均数据进行设定，今年实际金额将会与设定的绩效目标进行比较。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</w:t>
        <w:b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三、综合评价情况及评价结论（附相关评分表）</w:t>
        <w:br/>
        <w:t>（一）评价情况</w:t>
        <w:br/>
        <w:t>本项目的综合评价基于对项目各方面绩效的深入分析与评估。从项目目标的达成情况来看，卫生工作经费在资金发放次数、资金发放准确率、资金发放及时性以及在编人员工资发放标准等方面表现出色，达到了预期的标准与要求。</w:t>
        <w:br/>
        <w:t>在项目管理方面，卫生工作经费通过有效的规划、组织与协调，项目得以顺利实施，并在预算与时间上保持了良好的控制。</w:t>
        <w:br/>
        <w:t>从项目效益的角度来看，本项目实现了预期的经济效益方面产生了积极的影响。具体而言，实现收支平衡等方面的提升，为项目的利益相关者带来了实实在在的利益。</w:t>
        <w:br/>
        <w:t>综上所述，卫生工作经费在绩效评价中表现出色，达到了项目的预期目标，并在多个方面取得了显著的成效。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96.45分，属于“优（良/中/差）”。其中，项目决策类指标权重为20分，得分为20分，得分率为100%。项目过程类指标权重为20分，得分为19.81分，得分率为 99.05%。项目产出类指标权重为40分，得分为36.64分，得分率为 91.6%。项目效益类指标权重为20分，得分为20分，得分率为100%。具体打分情况详见：附件1综合评分表。</w:t>
        <w:br/>
        <w:t>表1综合评分表</w:t>
        <w:br/>
        <w:t>一级指标	权重分	得分</w:t>
        <w:br/>
        <w:t>项目决策	20	20</w:t>
        <w:br/>
        <w:t>项目过程	20	19.81</w:t>
        <w:br/>
        <w:t>项目产出	40	36.64</w:t>
        <w:br/>
        <w:t>项目效益	20	20</w:t>
        <w:br/>
        <w:t>合计	100	96.45</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项目过程类指标包括资金管理和组织实施两方面的内容，由5个三级指标构成，权重分值为20分，实际得分19.81分，得分率为99.05%。</w:t>
        <w:br/>
        <w:t>1.资金管理</w:t>
        <w:br/>
        <w:t>（1）资金到位率</w:t>
        <w:br/>
        <w:t>本项目总投资24778.56万元，财政资金及时足额到位，到位率100%，预算资金按计划进度执行。</w:t>
        <w:br/>
        <w:t>（2）预算执行率</w:t>
        <w:br/>
        <w:t>预算编制较为详细，项目资金支出总体能够按照预算执行，预算资金支出24778.57万元，预算执行率为95.3%。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 xml:space="preserve">  （2）制度执行有效性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项目产出类指标包括产出数量、产出质量、产出时效、产出成本四方面的内容，由5个三级指标构成，权重分为40分，实际得分36.64分，得分率为91.6%。具体产出指标完成情况如下：</w:t>
        <w:br/>
        <w:t>①数量指标：</w:t>
        <w:br/>
        <w:t>指标1： 在编人员数量，指标值：304 ，实际完成值：310，指标完成率 101.97%,偏差原因：2024年年中在编人数增加6人；</w:t>
        <w:br/>
        <w:t>指标2：聘用人员数量，指标值：486，实际完成值：506，指标完成率 104.11 %，偏差原因：2024年年中聘用人数增加20人；</w:t>
        <w:br/>
        <w:t>指标3：资金发放次数，指标值：12，实际完成值：12，指标完成率 100 %；</w:t>
        <w:br/>
        <w:t>②质量指标：</w:t>
        <w:br/>
        <w:t>指标1：资金发放准确率，指标值：100 ，实际完成值：100，指标完成率 100 %；</w:t>
        <w:br/>
        <w:t>③时效指标：</w:t>
        <w:br/>
        <w:t>指标1：资金发放及时性，指标值：100，实际完成值：100，指标完成率 100 %；</w:t>
        <w:br/>
        <w:t>④成本指标：</w:t>
        <w:br/>
        <w:t>指标1：在编人员人均发放工资标准，指标值：10000，实际完成值：10032.3，指标完成率0%，偏差原因年初是应发工资标准，年中人员调资导致数据不准确；</w:t>
        <w:br/>
        <w:t>指标2：聘用人员人均发放工资标准，指标值：4000，实际完成值：3865.6，指标完成率96.64%，偏差原因新增人员的工资标准较低，拉低了平均水平；</w:t>
        <w:br/>
        <w:t>指标3：运转经费支出标准，指标值：19000，实际完成值：18938.83，指标完成率99.67 %，偏差原因成本控制严格，降低了各项医疗成本。</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项目效益类指标包括项目实施效益和满意度两方面的内容，由1个三级指标构成，权重分为20分，实际得分20分，得分率为100%。具体效益指标及满意度指标完成情况如下：</w:t>
        <w:br/>
        <w:t>1.实施效益</w:t>
        <w:br/>
        <w:t>①经济效益指标：实现收支平衡，指标值：平衡，实际完成值：平衡，指标完成率100 %；</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五.主要经验及做法、存在的问题及原因分析</w:t>
        <w:b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（二）存在的问题及原因分析</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br/>
        <w:t>2.因轮岗、调动等因素使我单位绩效工作人员流动频繁，造成工作衔接不到位的情况。</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六.有关建议</w:t>
        <w:b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