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rPr>
          <w:rFonts w:ascii="黑体" w:hAnsi="黑体" w:eastAsia="黑体" w:cs="宋体"/>
          <w:color w:val="333333"/>
          <w:sz w:val="32"/>
          <w:szCs w:val="32"/>
          <w:lang w:bidi="ar"/>
        </w:rPr>
      </w:pPr>
      <w:r>
        <w:rPr>
          <w:rFonts w:hint="eastAsia" w:ascii="黑体" w:hAnsi="黑体" w:eastAsia="黑体" w:cs="宋体"/>
          <w:color w:val="333333"/>
          <w:sz w:val="32"/>
          <w:szCs w:val="32"/>
          <w:lang w:bidi="ar"/>
        </w:rPr>
        <w:t>附件4：</w:t>
      </w:r>
      <w:bookmarkStart w:id="1" w:name="_GoBack"/>
      <w:bookmarkEnd w:id="1"/>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部门单位整体支出绩效</w:t>
      </w: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ascii="仿宋_GB2312" w:hAnsi="宋体" w:eastAsia="仿宋_GB2312"/>
          <w:b/>
          <w:sz w:val="32"/>
          <w:szCs w:val="32"/>
        </w:rPr>
        <w:t>2024</w:t>
      </w:r>
      <w:r>
        <w:rPr>
          <w:rFonts w:hint="eastAsia" w:hAnsi="宋体" w:eastAsia="仿宋_GB2312" w:cs="宋体"/>
          <w:kern w:val="0"/>
          <w:sz w:val="36"/>
          <w:szCs w:val="36"/>
        </w:rPr>
        <w:t>年度）</w:t>
      </w: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540" w:lineRule="exact"/>
        <w:ind w:firstLine="720" w:firstLineChars="200"/>
        <w:rPr>
          <w:rFonts w:hAnsi="宋体" w:eastAsia="仿宋_GB2312" w:cs="宋体"/>
          <w:kern w:val="0"/>
          <w:sz w:val="44"/>
          <w:szCs w:val="44"/>
        </w:rPr>
      </w:pPr>
      <w:r>
        <w:rPr>
          <w:rFonts w:hint="eastAsia" w:hAnsi="宋体" w:eastAsia="仿宋_GB2312" w:cs="宋体"/>
          <w:kern w:val="0"/>
          <w:sz w:val="36"/>
          <w:szCs w:val="36"/>
        </w:rPr>
        <w:t>部门单位名称（公章）</w:t>
      </w:r>
      <w:r>
        <w:rPr>
          <w:rFonts w:hint="eastAsia" w:ascii="仿宋" w:hAnsi="仿宋" w:eastAsia="仿宋" w:cs="仿宋"/>
          <w:kern w:val="0"/>
          <w:sz w:val="44"/>
          <w:szCs w:val="44"/>
        </w:rPr>
        <w:t>：</w:t>
      </w:r>
      <w:r>
        <w:rPr>
          <w:rStyle w:val="6"/>
          <w:rFonts w:hint="eastAsia" w:ascii="仿宋" w:hAnsi="仿宋" w:eastAsia="仿宋" w:cs="仿宋"/>
          <w:b w:val="0"/>
          <w:bCs w:val="0"/>
          <w:spacing w:val="-4"/>
          <w:sz w:val="44"/>
          <w:szCs w:val="44"/>
        </w:rPr>
        <w:t>新源县伊钢卫生院</w:t>
      </w:r>
    </w:p>
    <w:p>
      <w:pPr>
        <w:spacing w:line="540" w:lineRule="exact"/>
        <w:ind w:firstLine="720" w:firstLineChars="200"/>
        <w:rPr>
          <w:rFonts w:ascii="仿宋" w:hAnsi="仿宋" w:eastAsia="仿宋" w:cs="仿宋"/>
          <w:kern w:val="0"/>
          <w:sz w:val="44"/>
          <w:szCs w:val="44"/>
        </w:rPr>
      </w:pPr>
      <w:r>
        <w:rPr>
          <w:rFonts w:hint="eastAsia" w:hAnsi="宋体" w:eastAsia="仿宋_GB2312" w:cs="宋体"/>
          <w:kern w:val="0"/>
          <w:sz w:val="36"/>
          <w:szCs w:val="36"/>
        </w:rPr>
        <w:t>填报时间：</w:t>
      </w:r>
      <w:r>
        <w:rPr>
          <w:rStyle w:val="6"/>
          <w:rFonts w:hint="eastAsia" w:ascii="仿宋" w:hAnsi="仿宋" w:eastAsia="仿宋" w:cs="仿宋"/>
          <w:b w:val="0"/>
          <w:bCs w:val="0"/>
          <w:spacing w:val="-4"/>
          <w:sz w:val="44"/>
          <w:szCs w:val="44"/>
        </w:rPr>
        <w:t>2025年03月24日</w:t>
      </w: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基本概况：</w:t>
      </w:r>
    </w:p>
    <w:p>
      <w:pPr>
        <w:spacing w:line="600" w:lineRule="exact"/>
        <w:ind w:firstLine="964" w:firstLineChars="300"/>
        <w:jc w:val="left"/>
        <w:rPr>
          <w:rFonts w:hint="eastAsia" w:ascii="Arial" w:hAnsi="Arial" w:cs="Arial"/>
          <w:b/>
          <w:bCs/>
          <w:color w:val="333333"/>
          <w:sz w:val="30"/>
          <w:szCs w:val="30"/>
        </w:rPr>
      </w:pPr>
      <w:r>
        <w:rPr>
          <w:rFonts w:hint="eastAsia" w:ascii="黑体" w:hAnsi="黑体" w:eastAsia="黑体" w:cs="宋体"/>
          <w:b/>
          <w:color w:val="000000" w:themeColor="text1"/>
          <w:sz w:val="32"/>
          <w:szCs w:val="32"/>
          <w:lang w:bidi="ar"/>
          <w14:textFill>
            <w14:solidFill>
              <w14:schemeClr w14:val="tx1"/>
            </w14:solidFill>
          </w14:textFill>
        </w:rPr>
        <w:t>（一）</w:t>
      </w:r>
      <w:r>
        <w:rPr>
          <w:rFonts w:ascii="黑体" w:hAnsi="黑体" w:eastAsia="黑体" w:cs="宋体"/>
          <w:b/>
          <w:color w:val="000000" w:themeColor="text1"/>
          <w:sz w:val="32"/>
          <w:szCs w:val="32"/>
          <w:lang w:bidi="ar"/>
          <w14:textFill>
            <w14:solidFill>
              <w14:schemeClr w14:val="tx1"/>
            </w14:solidFill>
          </w14:textFill>
        </w:rPr>
        <w:t>部门单位基本情况</w:t>
      </w:r>
      <w:r>
        <w:rPr>
          <w:rFonts w:hint="eastAsia" w:ascii="Arial" w:hAnsi="Arial" w:cs="Arial"/>
          <w:b/>
          <w:bCs/>
          <w:color w:val="333333"/>
          <w:sz w:val="30"/>
          <w:szCs w:val="30"/>
        </w:rPr>
        <w:t>：</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新源县伊钢卫生院2024年人员编制数18人，实有在职人员18人（其中公务员0人、事业在职18人），离休人员0人，退休人员6人。内设科室为12个,分别为分别为内科、财务室、后勤组、医疗组、护理组、儿科、妇产科、外科、B超心电图室、检验科、药房、口腔科。</w:t>
        <w:br/>
        <w:t>其中：行政办公室主要负责机关日常运转工作、会议和活动协调组织；承担文电、政务公开、人事管理、安全生产、保密、信访、文秘与公文管理、办公自动化和政务信息、离退休人员管理、办公耗材管理、车辆管理、公务接待费及出差派遣等工作；负责协调各级单位日常事务。 </w:t>
        <w:br/>
        <w:t>财务科主要负责单位经济状况运转财务科由出纳、报账员、会计组成主要负责门诊、住院每日收费，月结清算扎帐工作，收入、支出审核整理原始凭证、记账、按时上报月报、年报、预算、决算、年报等工作；与上级主管部门、县级财政局做好各项对接及报表处理工作。                                                                                                                               </w:t>
        <w:br/>
        <w:t>医疗组、内科、儿科、妇产科主要负责对本院门诊、住院部病人进行医疗治疗及查房工作，完成医疗任务及上级指令性工作，必须定期查（每周1到2次），共同研究解决危重疑难病例诊断治疗上的问题，组织全科人员学习，运用临床经验开展新技术新疗法研究工作并总结经验，认真执行医院各项规章制度和技能操作常规严防并及时处理差错事故，参加院外会诊、出诊解决科内转科、转院和组织临床病例讨论工作。</w:t>
        <w:br/>
        <w:t>护理组主要负责在遵守单位护理部的规章制度的同时做到按护理级别护理患者，对病区患者进行查房、治疗、护理、发药、消毒、巡视等工作，协助医疗组转诊、接诊、出诊及执行医嘱等工作。</w:t>
        <w:br/>
        <w:t>检验科、B超心电图室主要负责在遵守单位护理部的规章制度的同时做的对患者的辅助检查及检查报告工作；每日工作环境的消杀，医疗垃圾的严格处置；检查结果登记及危机值得上报工作。</w:t>
        <w:br/>
        <w:t>药房主要负责在遵守单位各项规章制度的同时对病人热情和蔼，负责每日门诊、住院药品发放；保持药房通风干净、整洁按规定摆放药品做到账实相符；药品养护、温湿度记录、药品不良反应记录、药品质量管理。</w:t>
        <w:br/>
        <w:t>9、公共卫生科室主要负责预防保健、老年人保健、中医保健、慢病管理、儿童保健、孕产妇保健、重性精神病管理、卫生监督协管、健康宣教、传染病突发管理等；核算每个季度公共卫生服务项目管理的工作量。</w:t>
      </w:r>
      <w:bookmarkStart w:id="0" w:name="_Hlk43849111"/>
      <w:bookmarkEnd w:id="0"/>
    </w:p>
    <w:p>
      <w:pPr>
        <w:spacing w:line="600" w:lineRule="exact"/>
        <w:ind w:firstLine="964" w:firstLineChars="300"/>
        <w:jc w:val="left"/>
        <w:rPr>
          <w:rFonts w:hint="eastAsia"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（二）</w:t>
      </w:r>
      <w:r>
        <w:rPr>
          <w:rFonts w:ascii="黑体" w:hAnsi="黑体" w:eastAsia="黑体" w:cs="宋体"/>
          <w:b/>
          <w:color w:val="000000" w:themeColor="text1"/>
          <w:sz w:val="32"/>
          <w:szCs w:val="32"/>
          <w:lang w:bidi="ar"/>
          <w14:textFill>
            <w14:solidFill>
              <w14:schemeClr w14:val="tx1"/>
            </w14:solidFill>
          </w14:textFill>
        </w:rPr>
        <w:t>部门单位年度重点工作：</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1、提供以预防保健、基本医疗、健康教育、康复等为主要内容的综合性服务。</w:t>
        <w:br/>
        <w:t>2、受县级卫生行政部门委托承担辖区内公共卫生管理；承担着全镇人民的基本医疗、预防保健及公共卫生、突发事件。</w:t>
        <w:br/>
        <w:t>3、能够满足本镇广大城乡居民的基本医疗和基本公共卫生服务需求。</w:t>
        <w:br/>
        <w:t>4、认真执行儿童计划免疫。积极开展慢性非传染性疾病的防治工作。</w:t>
        <w:br/>
        <w:t>5、做好农村孕产妇和儿童保健工作，提高住院分娩率，改善儿童营养状况。</w:t>
        <w:br/>
        <w:t>6、积极做好新型农村合作医疗的服务、技术指导、康复等工作。</w:t>
        <w:br/>
        <w:t xml:space="preserve"> 7、以公共卫生服务为主，综合提供预防、保健和基本医疗服务。</w:t>
      </w:r>
    </w:p>
    <w:p>
      <w:pPr>
        <w:spacing w:line="600" w:lineRule="exact"/>
        <w:ind w:firstLine="964" w:firstLineChars="300"/>
        <w:jc w:val="left"/>
        <w:rPr>
          <w:rFonts w:hint="eastAsia"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（三）</w:t>
      </w:r>
      <w:r>
        <w:rPr>
          <w:rFonts w:ascii="黑体" w:hAnsi="黑体" w:eastAsia="黑体" w:cs="宋体"/>
          <w:b/>
          <w:color w:val="000000" w:themeColor="text1"/>
          <w:sz w:val="32"/>
          <w:szCs w:val="32"/>
          <w:lang w:bidi="ar"/>
          <w14:textFill>
            <w14:solidFill>
              <w14:schemeClr w14:val="tx1"/>
            </w14:solidFill>
          </w14:textFill>
        </w:rPr>
        <w:t>部门单位整体预算规模及安排情况：</w:t>
      </w:r>
    </w:p>
    <w:p>
      <w:pPr>
        <w:spacing w:line="600" w:lineRule="exact"/>
        <w:ind w:firstLine="960" w:firstLineChars="300"/>
        <w:jc w:val="left"/>
        <w:rPr>
          <w:rFonts w:hint="eastAsia" w:ascii="仿宋_GB2312" w:hAnsi="宋体" w:eastAsia="仿宋_GB2312"/>
          <w:bCs/>
          <w:sz w:val="32"/>
          <w:szCs w:val="32"/>
        </w:rPr>
      </w:pPr>
      <w:r>
        <w:rPr>
          <w:rFonts w:hint="eastAsia" w:ascii="仿宋_GB2312" w:hAnsi="宋体" w:eastAsia="仿宋_GB2312"/>
          <w:bCs/>
          <w:sz w:val="32"/>
          <w:szCs w:val="32"/>
        </w:rPr>
        <w:t>2024年伊刚卫生院年初预算安排276.95万元，其中财政拨款276.95万元。</w:t>
        <w:br/>
        <w:t>年中调整17.29万元，调整后全年预算294.23万元，预算调整率5.87%，调整预算的主要原因为本年度新增2名在编人员， 本年度财政直接下拨的地方公共卫生专项资金，医疗服务能力提升补助专项资金，基本药物补助专项资金。</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部门单位整体支出管理及使用情况：</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（二）部门单位整体支出使用情况</w:t>
        <w:br/>
        <w:t>1.基本支出情况</w:t>
        <w:br/>
        <w:t>2024年基本支出支出294.22万元，包括工资福利支出288.52万元，商品和服务支出0.90万元，对个人和家庭的补助4.80万元，资本性支出0万元。其中：“三公”经费支出0万元，比上年增加（减少）0万元；会议费支出0万元，比上年增加（减少）0万元；培训费支出0万元，比上年增加（减少）0万元。</w:t>
        <w:br/>
        <w:t>2.专项资金支出情况</w:t>
        <w:br/>
        <w:t>2024年专项项目支出0万元。</w:t>
        <w:br/>
        <w:t>3.部门单位专项组织实施情况</w:t>
        <w:br/>
        <w:t>年初我单位下发的0专项、2024年专项组织实施工作计划，对项目的工作分工、任务分配、资金落实、完成时限等提出了明确、具体的要求，以确保项目保质、保量、按时完成。截至12月31日，完成专项0个，未完成专项0个。</w:t>
        <w:br/>
        <w:t>为规范专项资金使用，提高专项资金使用效益，我院主要采取四项措施。一是严格规范资金收支审批制度；二是强化预算约束；三是强化流程管理；四是认真组织项目验收。切实保证专项资金都做到了专款专用。</w:t>
        <w:br/>
        <w:t>一是严格规范资金收支审批制度。明确和划分人员责任，细化资金支付审批权限及审批流程，强化资金收支的内部控制，对重要的财务支出项目，应实施重点审批、严格审批；确保资金支出的内容和数据真实，各类经济事项符合开支标准和范围，符合效益性和节约性原则。</w:t>
        <w:br/>
        <w:t>二是强化预算约束。推行全面预算理念，在科学合理编制部门预算的基础上，对部门预算中各项经费进一步细化，分类施控，严格执行，实现对经济活动全程管控，确保所有工作都在预算范围内有序进行，以此强化预算源头管控和精细化管理。</w:t>
        <w:br/>
        <w:t>三是强化流程管理。推进全面流程化管理，在专项资金分配、预算编制、财务审批和报销、资产管理、经济合同管理及政府采购等方面，都实施流程化、规范化管理模式，编制了财务管理操作流程，并设置了项目立项审议、大额资金通报、经济合同审批等环节，出台了《则克台镇卫生院合同管理办法》，以财务管理为“牛鼻子”，全面提高单位内部管理水平。</w:t>
        <w:br/>
        <w:t>四是认真组织项目验收。树立全面节约意识，严控一般性经费支出。特别是在公用品管理暂行办法》，按照厉行节约、统筹调剂、合理使用的原则加强审核，严控支出，并逐步取得了一定成效。</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部门单位整体支出绩效分析：</w:t>
      </w:r>
    </w:p>
    <w:p>
      <w:pPr>
        <w:spacing w:line="600" w:lineRule="exact"/>
        <w:ind w:firstLine="800" w:firstLineChars="250"/>
        <w:jc w:val="left"/>
        <w:rPr>
          <w:rFonts w:ascii="仿宋_GB2312" w:hAnsi="宋体" w:eastAsia="仿宋_GB2312"/>
          <w:b/>
          <w:sz w:val="32"/>
          <w:szCs w:val="32"/>
        </w:rPr>
      </w:pPr>
      <w:r>
        <w:rPr>
          <w:rFonts w:hint="eastAsia" w:ascii="黑体" w:hAnsi="黑体" w:eastAsia="黑体" w:cs="宋体"/>
          <w:bCs/>
          <w:color w:val="333333"/>
          <w:sz w:val="32"/>
          <w:szCs w:val="32"/>
          <w:lang w:bidi="ar"/>
        </w:rPr>
        <w:t xml:space="preserve"> </w:t>
      </w:r>
      <w:r>
        <w:rPr>
          <w:rFonts w:hint="eastAsia" w:ascii="仿宋_GB2312" w:hAnsi="宋体" w:eastAsia="仿宋_GB2312"/>
          <w:bCs/>
          <w:sz w:val="32"/>
          <w:szCs w:val="32"/>
        </w:rPr>
        <w:t>三、部门单位整体支出绩效情况</w:t>
        <w:br/>
        <w:t>（一）预算执行情况</w:t>
        <w:br/>
        <w:t>2024年伊钢卫生院总支出294.22万元，预算执行率100%，其中社会保障和就业支出30.53万元，卫生健康支出240.32万元，住房保障支出23.37万元。</w:t>
        <w:br/>
        <w:t>1.基本支出使用情况</w:t>
        <w:br/>
        <w:t>2024年，伊钢卫生院基本支出294.22万元，占总支出的100%，其中： 机关事业单位基本养老保险缴费支出30.53万元，事业单位医疗14.40万元，住房公积金23.37万元，基层医疗卫生机构225.92万元。</w:t>
        <w:br/>
        <w:t>2.项目支出使用情况</w:t>
        <w:br/>
        <w:t>2024年，伊钢卫生院单位项目支出0万元，占总支出的0％。</w:t>
        <w:br/>
        <w:t>（二）部门单位整体支出绩效指标完成情况</w:t>
        <w:br/>
        <w:t>年初我单位设置部门整体绩效目标中包括一级指标1个履职效能，二级指标3个，三级指标4个，指标完成情况分析如下：</w:t>
        <w:br/>
        <w:t>1.履职效能</w:t>
        <w:br/>
        <w:t>（1）数量指标</w:t>
        <w:br/>
        <w:t>指标1：公共卫生服务项目数量 ，预期指标是≥14项，年中监控完成值：14项，自评完成值：14项 ，指标完成率100%。偏差0%，偏差原因及改进措施：无，指标成效分析：通过公共卫生服务项目数量，有效提升职工知晓公共工作的种类，达到预期服务群众效果。</w:t>
        <w:br/>
        <w:t>指标2：完成基本药物采购种类，预期指标是≥312种 ，年中监控完成值：312种，自评完成值：302种，指标完成率96.8%。偏差-3.2%，偏差原因及改进措施：无，指标成效分析：通过基本药物采购种类，有效提升职工知晓公药物采购工作的种类，达到预期服务群众效果。</w:t>
        <w:br/>
        <w:t>（2）质量指标</w:t>
        <w:br/>
        <w:t>指标1： 城乡居民全民健康体检覆盖率 ，指标值≥90%，年中监控完成值：90%，自评完成值：99.93% ，指标完成率111.03%，偏差11.03%，偏差原因及改进措施：无，指标成效分析：通过城乡居民全民健康体检覆盖率，有效提升职城乡居民全民健康体检工作的覆盖率，达到预期服务群众效果。</w:t>
        <w:br/>
        <w:t xml:space="preserve"> 指标2：居民健康档建档率案 ，指标值≥90% ，年中监控完成值：90%，自评完成值：92.86% ，指标完成率103.17%。偏差3.17%，偏差原因及改进措施：无，指标成效分析：通过居民健康档建档率案，有效提升职居民健康档建工作的建档率案，达到预期服务群众效果。</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评价结论：</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五、存在的主要问题</w:t>
        <w:br/>
        <w:t>（一）绩效指标设置不够明确</w:t>
        <w:br/>
        <w:t>则克台镇卫生院部分绩效指标设置存在不够精简、指标数据无法统计和指标值设置过低等问题，部分项目绩效指标值设定为定性的指标，指标设置的科学性、合理性有待进一步提高。绩效监控管理理念有待进一步增强。绩效监控政策宣传不到位。绩效监控作为新生事物，单位部门认识不到位，绩效管理专业人员匮乏，对绩效监控重视力度不够</w:t>
        <w:br/>
        <w:t>（二）固定资产账务管理不够细致、严谨</w:t>
        <w:br/>
        <w:t>有的部门对预算绩效监控工作重视不够，缺乏主动性，应付的成分多于对管理问题的反思，没有将绩效管理工作作为一项日常性重要工作来抓。抽查发现，各单位固定资产账务管理普遍存在入账不及时、漏入、入账信息、金额不准确或资产台账未登记到具体使用人等问题。</w:t>
        <w:br/>
        <w:t>（三）项目监督工作存在薄弱环节</w:t>
        <w:br/>
        <w:t>我单位没有设置专门的预算绩效管理部门，只是由财务科负责，人员数量较少，专业能力较弱，现有工作人员的业务水平还不能满足绩效管理工作要求，业务素质急需提高。</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存在的主要问题及原因分析：</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五、存在的主要问题</w:t>
        <w:br/>
        <w:t>（一）绩效指标设置不够明确</w:t>
        <w:br/>
        <w:t>则克台镇卫生院部分绩效指标设置存在不够精简、指标数据无法统计和指标值设置过低等问题，部分项目绩效指标值设定为定性的指标，指标设置的科学性、合理性有待进一步提高。绩效监控管理理念有待进一步增强。绩效监控政策宣传不到位。绩效监控作为新生事物，单位部门认识不到位，绩效管理专业人员匮乏，对绩效监控重视力度不够</w:t>
        <w:br/>
        <w:t>（二）固定资产账务管理不够细致、严谨</w:t>
        <w:br/>
        <w:t>有的部门对预算绩效监控工作重视不够，缺乏主动性，应付的成分多于对管理问题的反思，没有将绩效管理工作作为一项日常性重要工作来抓。抽查发现，各单位固定资产账务管理普遍存在入账不及时、漏入、入账信息、金额不准确或资产台账未登记到具体使用人等问题。</w:t>
        <w:br/>
        <w:t>（三）项目监督工作存在薄弱环节</w:t>
        <w:br/>
        <w:t>我单位没有设置专门的预算绩效管理部门，只是由财务科负责，人员数量较少，专业能力较弱，现有工作人员的业务水平还不能满足绩效管理工作要求，业务素质急需提高。</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改进措施和建议：</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六、改进措施和建议</w:t>
        <w:br/>
        <w:t>一是建议以规章规则的形式，出台绩效管理制度，对绩效管理的目的、意义、性质和特点，以及组织实施绩效管理的程序、步骤、方法、原则和要求进行统一的规定。二是合理设置年度任务。提高各处室对部门中长期规划的重视程度，增强相关规划的落地性、导向性。三是探索符合部门工作特点的评价指标体系。在设定绩效目标时选取相关性强的量化指标，并注重选取符合实际工作情况的指标值。</w:t>
        <w:br/>
        <w:t>（二）加强固定资产账务管理，确保账实相符</w:t>
        <w:br/>
        <w:t>针对抽查发现的问题，查找根源并改进，建议：一是加强年度政府采购台账和固定资产台账信息的比对，避免资产漏入、少入或录入不及时，二是资产领用应尽可能明确到具体使用人。三是资产入账时相关人员应再次确认发票、合同信息，避免基础信息录入错误</w:t>
        <w:br/>
        <w:t>（三）建立动态分析管理机制，提高项目监管主动性</w:t>
        <w:br/>
        <w:t>业务部门进行指导、监督和检查时进一步加强主动性，积极探索更有效和积极主动的监管方式。一方面要建立重点项目实施过程的反馈机制，依托相关XX信息平台，加大对重点部门、重点项目的监控力度，并建立对重点项目实施情况按月度上报机制，及时督促相关地区对政策的落地执行，提高对项目的整体把控能力。另一方面积极主动下基层进行抽查和检查，强化对基层单位和“微权力”的管理监督。同时进一步扩大抽查覆盖面，或聘请专业第三方机构对项目运行情况进行事中、事后监控。</w:t>
      </w:r>
    </w:p>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0000000000000000000"/>
    <w:charset w:val="86"/>
    <w:family w:val="script"/>
    <w:pitch w:val="default"/>
    <w:sig w:usb0="00000000" w:usb1="0000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Arial">
    <w:panose1 w:val="020B0604020202020204"/>
    <w:charset w:val="00"/>
    <w:family w:val="swiss"/>
    <w:pitch w:val="default"/>
    <w:sig w:usb0="E0002EFF" w:usb1="C000785B" w:usb2="00000009" w:usb3="00000000" w:csb0="400001FF" w:csb1="FFFF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AwZmYzMDUwNzhmYmVmMzNlY2I1MjAwNzI2NzY5MDUifQ=="/>
  </w:docVars>
  <w:rsids>
    <w:rsidRoot w:val="00EB3604"/>
    <w:rsid w:val="00021B05"/>
    <w:rsid w:val="000B791B"/>
    <w:rsid w:val="001C7F2C"/>
    <w:rsid w:val="00340E58"/>
    <w:rsid w:val="003E45AA"/>
    <w:rsid w:val="00486CD9"/>
    <w:rsid w:val="00584481"/>
    <w:rsid w:val="00653C1A"/>
    <w:rsid w:val="0072543F"/>
    <w:rsid w:val="007A5D83"/>
    <w:rsid w:val="007A798C"/>
    <w:rsid w:val="007B51CE"/>
    <w:rsid w:val="007D7702"/>
    <w:rsid w:val="007E47F4"/>
    <w:rsid w:val="007F0F7C"/>
    <w:rsid w:val="00892E0B"/>
    <w:rsid w:val="008F0DCE"/>
    <w:rsid w:val="00916058"/>
    <w:rsid w:val="00AB72C1"/>
    <w:rsid w:val="00C10BB4"/>
    <w:rsid w:val="00CE0C6C"/>
    <w:rsid w:val="00DB647F"/>
    <w:rsid w:val="00DC7E33"/>
    <w:rsid w:val="00E40ABD"/>
    <w:rsid w:val="00E8616A"/>
    <w:rsid w:val="00EB3604"/>
    <w:rsid w:val="020B07BA"/>
    <w:rsid w:val="02656D15"/>
    <w:rsid w:val="06696209"/>
    <w:rsid w:val="0D1922F1"/>
    <w:rsid w:val="10DF6E84"/>
    <w:rsid w:val="1438599A"/>
    <w:rsid w:val="200F4073"/>
    <w:rsid w:val="24B86128"/>
    <w:rsid w:val="51C70EA9"/>
    <w:rsid w:val="54F842B6"/>
    <w:rsid w:val="64F5745B"/>
    <w:rsid w:val="656071F2"/>
    <w:rsid w:val="6BF1756B"/>
    <w:rsid w:val="6F5E1AA3"/>
    <w:rsid w:val="7F200B83"/>
    <w:rsid w:val="7F5D58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0"/>
    <w:rPr>
      <w:b/>
      <w:bCs/>
    </w:rPr>
  </w:style>
  <w:style w:type="character" w:customStyle="1" w:styleId="7">
    <w:name w:val="页眉 字符"/>
    <w:basedOn w:val="5"/>
    <w:link w:val="3"/>
    <w:qFormat/>
    <w:uiPriority w:val="99"/>
    <w:rPr>
      <w:sz w:val="18"/>
      <w:szCs w:val="18"/>
    </w:rPr>
  </w:style>
  <w:style w:type="character" w:customStyle="1" w:styleId="8">
    <w:name w:val="页脚 字符"/>
    <w:basedOn w:val="5"/>
    <w:link w:val="2"/>
    <w:qFormat/>
    <w:uiPriority w:val="99"/>
    <w:rPr>
      <w:sz w:val="18"/>
      <w:szCs w:val="18"/>
    </w:rPr>
  </w:style>
  <w:style w:type="paragraph" w:styleId="9">
    <w:name w:val="List Paragraph"/>
    <w:basedOn w:val="1"/>
    <w:qFormat/>
    <w:uiPriority w:val="34"/>
    <w:pPr>
      <w:ind w:firstLine="420" w:firstLineChars="200"/>
    </w:p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theme/theme1.xml" Type="http://schemas.openxmlformats.org/officeDocument/2006/relationships/theme"/>
<Relationship Id="rId4" Target="numbering.xml" Type="http://schemas.openxmlformats.org/officeDocument/2006/relationships/numbering"/>
<Relationship Id="rId5"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57</Words>
  <Characters>328</Characters>
  <Lines>2</Lines>
  <Paragraphs>1</Paragraphs>
  <TotalTime>8</TotalTime>
  <ScaleCrop>false</ScaleCrop>
  <LinksUpToDate>false</LinksUpToDate>
  <CharactersWithSpaces>384</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2020-06-04T05:22:00Z</dcterms:created>
  <dc:creator>hongbing liu</dc:creator>
  <cp:lastModifiedBy>guxx</cp:lastModifiedBy>
  <dcterms:modified xsi:type="dcterms:W3CDTF">2024-03-15T02:49:25Z</dcterms:modified>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4E2A216151A24EE5A190066F518526B7</vt:lpwstr>
  </property>
</Properties>
</file>