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新源县教育局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根据《关于印发新源县教育局主要职责内设机构和人员编制规定的通知》（新县政办【2016】178号），本单位主要职能有：</w:t>
        <w:br/>
        <w:t>（1）全面贯彻执行中央有关教育工作的方针政策、法规,拟订新源县教育改革与发展的政策和规划；</w:t>
        <w:br/>
        <w:t>（2）负责各级各类学校教育的统筹规划和综合协调,制定教育事业发展规划和计划,确定教育事业发展重点、规模、速度和步骤，指导各级各类学校的教育教学改革;负责教育基本信息的统计、分析、发布和上报工作。</w:t>
        <w:br/>
        <w:t>（3）负责国家通用语言文字宣传规划、规范推广、普及应用等工作；负责国家通用语言文字的社会学习、普及学习和再培养培训。</w:t>
        <w:br/>
        <w:t>（4）会同相关部门编制县级教育经费和项目预算，规划实施并监督管理；拟订教育经费筹措、管理和学生资助的政策；协调指导各级各类学校家庭经济困难学生资助管理工作。</w:t>
        <w:br/>
        <w:t>（5）检查指导各级各类学校思想政治工作和学校德育工作。</w:t>
        <w:br/>
        <w:t>（6）指导教育系统单位、各级各类学校的安全稳定;做好应急协调和维稳措施的督促落实工作。</w:t>
        <w:br/>
        <w:t>（7）负责义务教育的宏观指导和协调,推进义务教育均衡发展,促进教育公平;？指导普通高中教育、学前教育、特殊教育和民办教育工作。</w:t>
        <w:br/>
        <w:t>（8）指导教育系统人才队伍建设，主管教师培养规划和组织实施工作；负责教师资格认定和继续教育等工作。</w:t>
        <w:br/>
        <w:t>（9）负责各级各类学校教材和教辅资料目录的审核、征订工作，监督各级各类学校教材和教辅资料的使用。</w:t>
        <w:br/>
        <w:t>（10）承担县人民政府教育督导工作；制定本县教育督导计划和评估方案，并进行指导、监督、检查、评估。</w:t>
        <w:br/>
        <w:t>（11）规划、指导教育系统的教育信息化工作。</w:t>
        <w:br/>
        <w:t>（12）完成县委、县人民政府交办的其他任务。</w:t>
        <w:br/>
        <w:t>2.机构设置及人员情况</w:t>
        <w:br/>
        <w:t>新源县教育局内设科室为11个,分别为分别为办公室、资助核算中心、组织人事中心、督导室、发展规划中心、教研中心、纪检监察中心、综治中心、青少年活动中心、工会、督导室。</w:t>
        <w:br/>
        <w:t>新源县教育局编制数64人，实有人数99人，其中：行政类人员编制人数10，工勤编制数1，实有在编人数行政8人，工勤1人，相比上年增加2人，调出1人。事业类人员编制数53，实有在编人数40，实有在编人数相比去年增加6人，退休1人，调出5人。退休50人，增加1人；离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坚持以习近平新时代中国特色社会主义思想为指导，深入贯彻党的二十大精神，贯彻落实中央、自治区党委决策部署的各项重大工作决定和安排，充分发挥教育经费保障教育发展、推动教育改革、推进教育公平、提高教育质量的政策引领作用，保障国语教育教学全覆盖，推进义务教育均衡发展，促进教育公平，指导普通高中教育、学前教育、特殊教育和民办教育工作；落实教育经费筹措、管理和学生资助的政策，协调落实各级各类学校家庭经济困难学生资助管理工作，完善城乡义务教育经费保障机制，保障中小学正常运转，保证学校校舍安全，提升学校办学条件。</w:t>
        <w:br/>
        <w:t>2.重点工作计划</w:t>
        <w:br/>
        <w:t>一是聚焦提质行动，冲刺全疆第一方阵。锚定“保三争二创一”目标，提升新源教育在全疆的知名度。办好普及普惠的学前教育。以创建全国学前教育普及普惠县为目标，以“七彩童年·健康成长”学前教育品牌打造为载体，全力提升学前教育办学品质、保教质量。办好优质均衡的义务教育。以创建全国义务教育优质均衡发展县为目标，统筹解决好超规模办学、优质学位不足、教师紧缺等问题，提升中考质量，缩小集团、城乡、校际差距。办好特色名优的高中教育。以基础教育改革为依托，以教师绩效考核为抓手，进一步激发高中育人活力，力求在高考600分和清北名校录取上有突破。四是办好活力融合的职业教育。以服务县域经济社会发展为目标，全面深化“联合办学”“校企合作”等办学模式，培养县域旅游、餐饮、酿酒等产业的紧缺技能型人才。</w:t>
        <w:br/>
        <w:t>二是聚焦三名工程，巩固全州领先水平。抓好名优资源顶层设计，全面增强新源教育核心竞争力。开启名校创建战略。依托扬州对口援疆的优质平台，进一步畅通与扬州教育合作交流，深入推进集团化办学，每个集团打造3所城乡名校、强校。实施名书记（校长）领航行动。以各级名书记（校长）领航工作室为抓手，加大书记、校长培训力度，组织书记校长到北师大等高校培训，增强校长队伍专业素养、管理能力。开展名师锻造计划。落实好优秀师范生招聘和免费师范生安置工作，构建“新秀—能手—骨干—名师”培养体系，年内培育县级名师、教坛新秀50名以上。</w:t>
        <w:br/>
        <w:t>三是聚焦要素条件，夯实教育保障基础。坚持在最优区域建学校、用最快速度提品质，全力撬动新源教育高品质提升的杠杆。开展布局拓面工程。落实好、跟进好已开工建设的旭日中学、兴新中学建设项目，严把工程质量和进度，项目建成后预计增加县直中小学学位4500余个，将有效化解县城学校大校额、大班额问题。强化数字赋能工程。全面提升希沃智慧黑板、电子督学平台使用效率，落实好18套“三个课堂”录播教室建设工作，以信息化促进优质教育资源共建共享。落实平安筑基工程。强化校园安防、食品安全、防欺凌等重点工作，切实筑牢源头预防治理有效、内部安全管理有力、外围安全防控严密的校园安全风险防控体系。</w:t>
        <w:br/>
        <w:t>四是聚焦立德树人，着力培育时代新人。走深做实立德树人根本任务，引导学生迈好人生的第一步。打响“培根铸魂”特色品牌。加强思政课与德育资源有机结合，利用纪念馆、烈士陵园等着力打造“行走思政课”品牌，开展体验式、沉浸式思政教学。发挥体育、美育的育人功能，推进校园体育社团建设，落实好书法课、美术课等美育课程。加强青少年近视防控工作，开展视力检测，引导青少年养成健康科学用眼习惯。探索劳动教育品牌创建，依托校内外和家校合力，实现全域、全过程育人。巩固“轻负高质”双减生态。持续把“双减”工作摆在突出位置，加强作业管理，不断提高作业设计水平，进一步强化学校教育主阵地作用。打造新源课后服务托管品牌，促进课后服务“课程化、个性化、精准化”。巩固校外培训机构治理成果，加大对隐形变异培训机构查处力度。推进学生综合素质评价改革，以学校、家庭和社会为育人评价主体，促进学生健康、全面发展。构筑“家校协同”关爱体系。坚持心理教育和家庭教育融合推进，推动家庭成长陪伴计划、心理健康整体提升计划，利用校内外专业心育资源，进一步提高心理师资队伍专业化水平。落实好援疆助学金、生源地贷款等各类学生资助政策，确保家庭经济困难学生成长成才路上不因贫困而辍学。</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教育局年初预算安排23913.93万元，其中财政拨款17482.36万元，其他资金6431.57万元，主要用于教育局人员经费、公用经费，各学校幼儿园公用经费、保教费、伙食费、高中助学金免学费、上级专项转移支付项目资金、实有资金等。</w:t>
        <w:br/>
        <w:t>年中调整12414.18万元，调整后全年预算11499.75万元，预算调整率51.91%，调整预算的主要原因为年初预算包括各学校幼儿园公用经费、保教费、伙食费、高中助学金免学费等，但实际执行在各学校幼儿园，教育局决算中不包括此项数据。</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单位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新源县财政批复预算后，我单位按要求及时制定并报批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我单位已按要求在我县人民政府门户网站公开部门预算信息，同步公开绩效目标表；在县人民政府门户网站公开部门决算信息，同步公开自评表及自评报告。</w:t>
        <w:br/>
        <w:t>（二）部门单位整体支出使用情况</w:t>
        <w:br/>
        <w:t>1.基本支出情况</w:t>
        <w:br/>
        <w:t>2024年基本支出支出3905.96万元，包括工资福利支出1502.03万元，商品和服务支出1752.9万元，对个人和家庭的补助628.08万元，资本性支出22.94万元。其中：“三公”经费支出3.54万元，比上年增加0万元；会议费支出0万元，比上年增加0万元；培训费支出161.01万元，比上年减少22.75万元，主要原因是2023年拨付以前年度培训费。</w:t>
        <w:br/>
        <w:t>2.专项资金支出情况</w:t>
        <w:br/>
        <w:t>2024年专项项目支出7593.8万元，占总支出的66.03％，主要用于农村学前三年免费教育保障机制经费-园舍维修382.36万元，自治区义务教育农村校舍安全保障长效机制项目550.25万元，义务教育保障经费353.02万元，中小学幼儿园教师国家级培训计划资金160万元，城乡义务教育补助经费－校舍维修802万元，义务教育薄弱环节改善与能力提升项目中央资金1486.17万元，2023年-2023年义务教育薄改项目227.83万元，2023年自治区第六批地方政府债券[一般债券项目]资金245.72万元，义务教育保障经费413.84万元，2023年改善普通高中办学条件补助资金1106万元，改善普通高中学校办学条件18.39万元，职业技术学校运动场建设项目491.13万元，教育附加费1357.08万元。</w:t>
        <w:br/>
        <w:t>3.部门单位专项组织实施情况</w:t>
        <w:br/>
        <w:t>年初我单位下发的城乡义务教育补助项目、学生资助补助直达资金-高中助学金,免学杂费、学前三年免费教育保障机制经费、教育项目经费-班主任津贴、县聘工资、改善普通高中学校办学条件、义务教育薄弱环节改善与能力提升项目中央资金、特殊教育补助专项资金、教育附加费、新疆伊犁州新源县兴新中学建设项目、保障教育工作项目、教育工作经费、自治区义务教育农村校舍安全保障长效机制项目、2020年农村幼儿园园舍维修项目（工程质保金）、2023年农村幼儿园园舍维修项目（工程尾款）、2020年农村义务教育学校校舍安全保障长效机制项目中央补助资金建设(质保金)、中小学幼儿园教师培训费专项工作计划，对项目的工作分工、任务分配、资金落实、完成时限等提出了明确、具体的要求，以确保项目保质、保量、按时完成。截至12月31日，完成专项16个，未完成专项3个。</w:t>
        <w:br/>
        <w:t>为规范专项资金使用，提高专项资金使用效益，我单位主要采取四项措施。一是制订专项资金管理制度；二是各专项资金建立了专账；三是制定了项目实施方案；四是认真组织项目验收。切实保证专项资金都做到了专款专用。</w:t>
        <w:br/>
        <w:t>（1）制定更新《资金收支管理办法》，各项资金使用审批流程均按规定办理。涉及“三重一大”内容，严格按照规定提请局党组会审议决定，包括项目资金分配、重大项目确定、大额资金支付等。</w:t>
        <w:br/>
        <w:t>（2）建立各项目资金台账，做到有据可依，有据可查。</w:t>
        <w:br/>
        <w:t>（3）制定了各项目实施方案，确保项目顺利实施并验收。</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我单位总支出11499.75万元，预算执行率100%，其中行政运行819.00万元，占总支出7.12%；其他教育管理事务支出120.81万元，占总支出1.05%；学前教育626.90万元，占总支出5.45%；小学教育1,460.52万元，占总支出12.70%；初中教育4,992.64万元，占总支出43.42%；高中教育1,376.39万元，占总支出11.97%；中等职业教育565.94万元，占总支出4.92%；其他教育费附加安排的支出1,357.08万元，占总支出11.80%；机关事业单位基本养老保险缴费支出92.01万元，占总支出0.80%；机关事业单位职业年金缴费支出12.26万元，占总支出0.11%； 住房公积金76.19万元，占总支出0.66%。</w:t>
        <w:br/>
        <w:t>1.基本支出使用情况</w:t>
        <w:br/>
        <w:t>2024年，我单位基本支出3905.95万元，占总支出33.97%，万元，其中：其中工资福利支出2102.03万元，占基本支出53.82%，商品和服务支出1152.9万元，占基本支出29.52%，对个人和家庭的补助支出628.08万元，占基本支出16.08%，资本性支出办公设备购置22.94万元，占基本支出0.59%。</w:t>
        <w:br/>
        <w:t>2.项目支出使用情况</w:t>
        <w:br/>
        <w:t>2024年，我单位项目支出项目支出7593.80万元，占总支出66.03%。其中：包括农村学前三年免费教育保障机制经费-园舍维修382.36万元，自治区义务教育农村校舍安全保障长效机制项目550.25万元，义务教育保障经费353.02万元，中小学幼儿园教师国家级培训计划资金160万元，城乡义务教育补助经费－校舍维修802万元，义务教育薄弱环节改善与能力提升项目中央资金1486.17万元，2023年-2023年义务教育薄改项目227.83万元，2023年自治区第六批地方政府债券[一般债券项目]资金245.72万元，义务教育保障经费413.84万元，2023年改善普通高中办学条件补助资金1106万元，改善普通高中学校办学条件18.39万元，职业技术学校运动场建设项目491.13万元，教育附加费1357.08万元。</w:t>
        <w:br/>
        <w:t>（二）部门单位整体支出绩效指标完成情况</w:t>
        <w:br/>
        <w:t>年初我单位设置部门整体绩效目标中包括一级指标1个二级指标2个，三级指标7个，指标完成情况分析如下：</w:t>
        <w:br/>
        <w:t>1.履职效能</w:t>
        <w:br/>
        <w:t>（1）数量指标</w:t>
        <w:br/>
        <w:t>指标1：各级各类学校享受资助补助政策学生数 ，指标值：&gt;=16116人，监控完成值：16116人，自评完成值：19396人 ，指标完成率120.35%，偏差20.35%，偏差原因:寄宿生补助人数增加，改进措施：精准制定绩效目标，细化绩效指标。指标成效分析：持续减轻家庭经济压力，提升教育发展。</w:t>
        <w:br/>
        <w:t>指标2：新建义务教育段学校，指标值：&gt;=2所，年中监控完成值：2所，自评完成值：2所，指标完成率100 % 。指标成效分析：改善办学条件及大班额现象，促进教育均衡发展。</w:t>
        <w:br/>
        <w:t>（2）质量指标</w:t>
        <w:br/>
        <w:t>指标1：九年义务教育巩固率，指标值：&gt;=98.10% ，年中监控完成值：99.5%，自评完成值：99.5% ，指标完成率 101.13%，偏差1.13%，偏差原因：教育投入增加，集团化办学促进城乡教育均衡发展；改进措施：进一步加大教育投入，推动教育资源均衡。指标成效分析：教育质量进一步提升。</w:t>
        <w:br/>
        <w:t>指标2：适龄残疾儿童义务教育入学率，指标值：&gt;=98.40%，年中监控完成值：99%，自评完成值：99% ，指标完成率100.61%，偏差0.61%，偏差原因及改进措施：持续实施送教上门，保障生均经费落实。指标成效分析：减轻家庭后顾之忧，精准施策，保障残疾儿童就读质量。</w:t>
        <w:br/>
        <w:t>指标3：义务教育学校控辍保学率，指标值：=100%，年中监控完成值100%，自评完成值：100% ，指标完成率100%，偏差0%。</w:t>
        <w:br/>
        <w:t>指标4：巩固学前教育毛入学率，指标值：=100% ，年中监控完成值：99.72%，自评完成值：99.72% ，指标完成率99.72%，偏差0.28%，偏差原因：人口结构变化，出生率降低。指标成效分析：保障学期三年免费教育，资源建设不断加强。</w:t>
        <w:br/>
        <w:t>指标5：高中阶段毛入学率，指标值：&gt;=98.60% ，年中监控完成值：98.5%，自评完成值：98.5%，指标完成率99.9%，偏差0.01%。指标成效分析：学生人数增加，普及程度提高，教育公平得以推进。</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2024年度部门整体支出绩效评价综合得分99.7分，评价结果为“优”。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（一）固定资产账务管理不够细致、严谨</w:t>
        <w:br/>
        <w:t>固定资产账务管理普遍存在入账不及时、漏入、入账信息、金额不准确或资产台账未登记到具体使用人等问题。</w:t>
        <w:br/>
        <w:t>（二）部门预算的公用经费严重不足，我局系统除日常办公支出外，还要承担到全县各学校的下乡燃油费等支出，现有的部门预算资金不能满足日常工作需要。</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加强固定资产账务管理，确保账实相符，一是加强年度政府采购台账和固定资产台账信息的比对，避免资产漏入、少入或录入不及时，二是资产领用应尽可能明确到具体使用人。三是资产入账时相关人员应再次确认发票、合同信息，避免基础信息录入错误。</w:t>
        <w:br/>
        <w:t>（二）根据我单位部门整体支出绩效评价情况，建议县财政局根据教育事业发展的要求和实际情况，加大部门预算资金的安排，提高我单位公用经费及工作经费预算额度。</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