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新源县机关事务管理中心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根据《新源县机关事务管理中心职能配置、内设机构和人员编制规定》（新党办【2014】7号），本单位主要职能有：</w:t>
        <w:br/>
        <w:t xml:space="preserve">   1、负责以县委、县人大、县政府、县政协名义的政务接待，承担全县大型活动、重要会议接待服务工作，统一管理和使用接待经费。</w:t>
        <w:br/>
        <w:t xml:space="preserve">   2.统一建设、调配和管理县级机关用房，会同县房屋管理部门开展县级机关住房制度改革，负责县级机关房屋维修项目的计划和审批。</w:t>
        <w:br/>
        <w:t xml:space="preserve">   3.负责全县公共机构节能管理、监督工作。负责县领导的生活和重要公务活动的服务工作。</w:t>
        <w:br/>
        <w:t xml:space="preserve">   4.对县级其他机关和单位及乡镇政府机关的后勤事务和接待工作进行业务指导，推动后勤服务单位的改革和发展。</w:t>
        <w:br/>
        <w:t xml:space="preserve">   5.负责县级机关集中办公区域的行政事务、环境秩序管理及生活和会议服务、安全保卫等工作，承办县委、县人大、县政府、县政协及四大办公室交办的其他事项。</w:t>
        <w:br/>
        <w:t>2.机构设置及人员情况</w:t>
        <w:br/>
        <w:t>根据《新源县机关事务管理中心职能配置、内设机构和人员编制规定》（新党办【2014】7号），设立新源县机关事务管理中心，内设科室为4个,分别为综合科、财务科、接待科、环卫科、后勤保卫科。</w:t>
        <w:br/>
        <w:t>新源县机关事务管理中心人员编制数10人，实有人数7人，其中：在职7人，增加（减少）0人；退休1人。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目标1：基本支出主要保障会务中心及城西办公区正常办公及接待工作服务正常运转，改善工作环境，提高会议、领导生活的后勤保障;                                                                                           </w:t>
        <w:br/>
        <w:t>目标2：项目支出严格按照&lt;公务接待管理办法&gt;及会议决定执行,按照预算管理资金,专款专用,按照“八项规定”及相关公务接待要求圆满完成县正常公务接待工作。</w:t>
        <w:br/>
        <w:t>2.重点工作计划</w:t>
        <w:br/>
        <w:t>一是基本支出主要保障会务中心及城西办公区正常办公及接待工作服务正常运转，改善工作环境，提高会议、领导生活的后勤保障; 二是项目支出严格按照&lt;公务接待管理办法&gt;及会议决定执行,按照预算管理资金,专款专用,按照“八项规定”及相关公务接待要求圆满完成县正常公务接待工作。三是扎实推进办公用房管理，加强办公用房监管力度，组织开展2次全覆盖的办公用房监督检查，发现问题单位11家，已全部整改。四是加强共公共机构节能减排工作宣传教育，推进节约型机关复验工作，全年开展公共机构节能能耗统计工作1次。五是实行固定资产台账化管理，建立入库、出库、移交3类台账，实现固定资产规范运行。坚持“过紧日子”思想，严格公务用车加油维修、办公物品采购流程。</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机关事务管理中心年初预算安排1991.5万元，预算追加资金390.2万元，支出预算调整率增加1.95%；2024年12月实际决算支出2381.7万元，另其他支出0万元，其中工资福利支出445.76万元、商品和服务支出1932.39万元，对个人和家庭的补助3.55万元，其他资本性支出0万元。上述决算支出2381.7万元中，其中基本支出217.13万元，项目支出2164.57万元，部门单位基本支出预算执行率80.37%，项目支出预算执行率123%。</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1.基本支出情况</w:t>
        <w:br/>
        <w:t>2024年基本支出2381.7万元，包括工资福利支出445.76万元，商品和服务支出1932.39万元，对个人和家庭的补助3.55万元，资本性支出0万元。上述决算支出2381.7万元中，其中基本支出217.13万元，项目支出2164.57万元，其中：年初预算“三公”经费支出15.3万元，2024年“三公”经费预算数为15.3万元，其中，公务接待费11.3万元，公务用车购置及运行费4万元（其中公务用车购置为0万元），因公出国（境）费0万元。</w:t>
        <w:br/>
        <w:t xml:space="preserve">   2024年“三公”经费决算支出51.27万元，其中公务接待费49.6万元、因公出国（境）费用0万元、公务用车购置及运行费1.67万元，较2023年“三公”经费决算支出51.27万元，增加35.97万元，增加率了30%。主要原因：年底财政局下发调整通知单，重新统一安排全县公务接待费。</w:t>
        <w:br/>
        <w:t xml:space="preserve">   2.专项资金支出情况</w:t>
        <w:br/>
        <w:t>2024年专项项目支出2164.57万元，占总支出的90.8％。</w:t>
        <w:br/>
        <w:t>3.部门单位专项组织实施情况</w:t>
        <w:br/>
        <w:t>年初我单位下发的2024年机关事务中心运转经费专项，对项目的工作分工、任务分配、资金落实、完成时限等提出了明确、具体的要求，以确保项目保质、保量、按时完成。截至12月31日，完成专项1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机关事务中心运转经费专项管理职责》《新源县机关事务中心项目资金管理办法》专项资金管理办法，各项资金使用审批流程均按规定办理。涉及“三重一大”内容，严格按照规定提请局党组会审议决定，包括项目资金分配、重大项目确定、大额资金支付等。</w:t>
        <w:br/>
        <w:t>（2）建立《机关事务中心运转经费专项管理职责》《新源县机关事务中心项目资金管理办法》专项资金专账，做到有据可依，有据可查。</w:t>
        <w:br/>
        <w:t>（3）制定了《新源县机关事务中心运转经费项目资金领导小组》、《机关事务中心运转经费专项管理职责》项目实施方案，确保项目顺利开展。</w:t>
        <w:br/>
        <w:t>（4）按照项目工作内容、工作措施、工作时限和要达到的预期效果，进一步分解细化，将责任落实到岗位，形成完整的绩效管理工作方案和指标考核评价体系，使部门专项工作任务与绩效评价指标紧密结合起来，推动各项工作落实。</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2024年新源县机关事务中心总支出2381.7万元，预算执行率100%，其中：一般公共预算政府办公厅及相关机构行政运行费支出2346.28万元，社会保障和就业支出18.98万元，卫生健康支出6.36万元，住房保障支出10万元。</w:t>
        <w:br/>
        <w:t>1.基本支出使用情况</w:t>
        <w:br/>
        <w:t>2024年，机关事务中心基本支出217.13万元，占总支出的9.2％，其中：机关事务中心行政运行181.72万元，机关事业单位基本养老保险缴费支出12.75万元，机关事业单位职业年金缴费支出6.2万元，行政/事业单位医疗6.36万元，公务员医疗补助0万元，其他行政事业单位医疗支出0万元，住房公积金10万元。</w:t>
        <w:br/>
        <w:t>2.项目支出使用情况</w:t>
        <w:br/>
        <w:t>2024年，机关事务中项目支出2164.57万元，占总支出的98.8％。一般公共服务支出2164.57万元，其中：1.伙食补助费支出314.8万元，2.电费支出60.59万元，3.水费支出10万元，4.日常维修费支出31.4万元，5.物业费支出237.77万元，6.租赁费1460.39万元，7.公务接待费支出49.6万元。</w:t>
        <w:br/>
        <w:t>（二）部门单位整体支出绩效指标完成情况</w:t>
        <w:br/>
        <w:t>年初我单位设置部门整体绩效目标中包括一级指标1个（履职效能)二级指标1个，三级指标5个，指标完成情况分析如下：</w:t>
        <w:br/>
        <w:t>1.履职效能</w:t>
        <w:br/>
        <w:t>（1）数量指标</w:t>
        <w:br/>
        <w:t>指标1：公务接待批次，指标值：1800批次 ，年中监控完成值：1120，自评完成值：1120，指标完成率62.22%，偏差37.78%，偏差原因及改进措施：未到监控节点，指标成效分析0。</w:t>
        <w:br/>
        <w:t>指标2：公务接待人数 ，指标值：18000人次，年中监控完成值：12000，自评完成值：12000，指标完成率66.66%，偏差33.34%，偏差原因及改进措施：未到监控节点，指标成效分析0。</w:t>
        <w:br/>
        <w:t>指标3：保障职工餐厅就餐人数 ，指标值：29000人次，年中监控完成值：18000，自评完成值：18000，指标完成率62.06%，偏差37.94%，偏差原因及改进措施：未到监控节点，指标成效分析0。</w:t>
        <w:br/>
        <w:t>指标4：办公用房监督查检次数 ，指标值：2次，年中监控完成值：1，自评完成值：1，指标完成率50%，偏差50%，偏差原因及改进措施：未到监控节点，指标成效分析0。</w:t>
        <w:br/>
        <w:t>指标5：公共节能工作统计全年能耗次数 ，指标值：1次，年中监控完成值：0，自评完成值：0，指标完成率0%，偏差100%，偏差原因及改进措施：未到监控节点，指标成效分析0。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主要存在的问题：1、年初安排的经费预算全部没落实到位，经费严重不足，2、部门预算的人员经费、公用经费严重不足。我单位除日常办公支出外，还要承担全县会议支出经费。单位日常运转的刚性支出不足，现有的部门预算资金已不能满足日益增长的工作需要。</w:t>
        <w:b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抽查发现，固定资产账务管理普遍存在入账不及时、漏入、入账信息、金额不准确或资产台账未登记到具体使用人等问题。</w:t>
        <w:br/>
        <w:t>（三）项目监督工作存在薄弱环节</w:t>
        <w:br/>
        <w:t>项目实施过程中的上报、跟踪、反馈机制尚未真正形成，项目资金的使用、实施等监管措施仍然存在改进的空间。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