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新源县民政局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根据《新源县民政局职能配置、内设机构和人员编制规定》（新党办【2019】32号文件），本单位主要职能有：</w:t>
        <w:br/>
        <w:t>（一）贯彻执行国家、自治区、自治州和县委、政府关于民政工作的法律、法规、规章、政策。拟订新源县民政事业发展规划并组织实施。</w:t>
        <w:br/>
        <w:t>（二）拟订新源县社会救助规划,健全城乡社会救助体系。负责城乡居民最低生活保障、临时救助。负责有意愿的特困老人集中供养和孤儿集中收养。负责农村敬老院建设管理工作。</w:t>
        <w:br/>
        <w:t>（三）贯彻落实国家、自治区制定的社会团体、社会服务机构的登记管理法规、政策。负责新源县社会团体、社会服务机构的登记管理、监督工作,按照管辖权限进行依法登记管理、年度检查、评估等级。负责社会组织党建工作。</w:t>
        <w:br/>
        <w:t>（四）指导城乡基层群众自治建设和社区建设工作。提出加强和完善城乡基层政权建设及社区治理的建议,推动基层民主政治建设。推动社区服务体系建设。</w:t>
        <w:br/>
        <w:t>（五）贯彻落实行政区划、行政区域界线和地名管理政策和标准。负责新源县地名管理工作;负责乡级以下行政区域的设立、撤销、命名、变更和政府驻地迁移初审报批工作;负责新源县行政区域界线的勘定和管理调处辖区内行政区域界线争议。</w:t>
        <w:br/>
        <w:t>（六）贯彻落实国家婚姻登记、殡葬管理政策。负责婚姻登记、殡葬服务机构管理，推进婚俗和殡葬改革。</w:t>
        <w:br/>
        <w:t>（七）贯彻落实老年人福利和养老服务业的政策，推进社会养老服务体系建设。负责养老机构和特困人员救助供养机构建设和管理。</w:t>
        <w:br/>
        <w:t>（八）落实儿童福利、儿童收养、儿童保护办法。贯彻落实农村留守儿童关爱体系和困境儿童保障制度。负责儿童福利、收养登记、未成年人保护机构管理。</w:t>
        <w:br/>
        <w:t>（九）负责生活无着的流浪、乞讨人员救助工作。负责救助管理和机构建设工作。</w:t>
        <w:br/>
        <w:t>（十）组织拟订促进慈善事业发展规划、办法。指导社会捐助工作，监管慈善行为。</w:t>
        <w:br/>
        <w:t>（十一）贯彻落实残障福利政策法规。负责民政职责范围内的精神卫生工作。</w:t>
        <w:br/>
        <w:t>（十二）落实社会工作办法和职业规范，负责社会工作人才和志愿者队伍建设。</w:t>
        <w:br/>
        <w:t>（十三）完成新源县委、县人民政府交办的其它任务。</w:t>
        <w:br/>
        <w:t>2.机构设置及人员情况</w:t>
        <w:br/>
        <w:t>新源县民政局包括本级机关及5个直属事业单位（新源县儿童福利院、新源县中心敬老院、新源县塔勒德镇敬老院、新源县阿热勒托别镇敬老院、新源县殡葬管理所），机关内设6个科室（办公室、社会事务办、社会救助办、行政区划和地名管理办、财务室、老龄办）。</w:t>
        <w:br/>
        <w:t>新源县民政局2023年人员编制数22人，实有人数41人，其中：在职23人，增加0人；退休18人，无变化；离休0人。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一）织密扎牢困难群众民生保障网格。一是完善城乡低保救助体系。二是全面推进低保规范化、精细化、动态化管理。三是完善低保家庭经济状况核对。四是完善城乡低保信息化管理。五是加强对乡镇社会救助系统操作人员培训。六是做好困难群众救助资金按时足额发放，专款专用，杜绝擅自扩大支出范围及以任何形式挤占、挪用、截留和滞留。七是推进临时救助规范化管理，提高临时救助制度的可及性和时效性，落实乡镇临时救助备用金制度，做到应救尽救。</w:t>
        <w:br/>
        <w:t>（二）提升社会事务管理能力，提高基本社会服务水平。一是加快推进养老服务体系建设，积极探索农村互助式养老服务运行保障机制，推进现有敬老院逐步转型为面向社会开放的区域性养老服务中心，增加居家养老和日间照料功能，提供低偿社会老人寄养、日间照料、居家养老等服务。二是规范收养登记管理与评估。四是加大福利机构安全生产及隐患排查力度。五是大力推行殡葬业务专业化、程序化、规范化建设。六是加强流浪乞讨人员救助管理工作。七是提升婚姻登记服务质量。八是扎实做好80周岁以上老年人基本生活津贴和残疾人“两项补贴”一卡通专项整治工作，加强对资金使用情况、补贴发放和信息录入工作。九是突出民生主题、着眼补齐短板，争取民政建设项目加强基础设施，不断完善养老、儿童福利、殡葬服务等设施体系，提升服务保障能力。</w:t>
        <w:br/>
        <w:t>（三）全面构建共建共治共享的基层社会治理格局。</w:t>
        <w:br/>
        <w:t>（四）不断加强区划地名和界线管理。</w:t>
        <w:br/>
        <w:t>（五）进一步规范管理社会组织，充分发挥社会组织的作用。</w:t>
        <w:br/>
        <w:t>2.重点工作计划</w:t>
        <w:br/>
        <w:t>（一）进一步加强民生保障工作。推进分层分类社会救助体系建设，强化统筹协调，指导乡镇加强动态管理做到应保尽保，切实做好困难群众基本生活保障。完善社会救助监督检查机制，扎实开展社会救助专项治理，确保低保管理程序规范化。</w:t>
        <w:br/>
        <w:t>（二）进一步提升社会事务服务水平。积极发展居家和社区养老政府购买服务内容，打造“15分钟居家养老服务圈”，推进养老服务精准、便捷、高效发展。优化婚姻、殡葬管理服务，认真做好婚姻登记“全区通办”“跨省通办”工作；持续推进身后“一件事”改革，整合身后事办理流程，提供一站式服务。严格按照《新疆维吾尔自治区人民政府办公厅关于加快推进居家养老服务工作的实施意见》（新政办发〔2015〕138号）和关于印发《新疆维吾尔自治区城镇居住区社区养老服务设施规划、建设、移交和使用管理办法》（新民规发〔2023〕6号）的通知要求，落实人均用地不少于0.1平方米标准在新建小区设置社区养老服务设施。</w:t>
        <w:br/>
        <w:t>（三）进一步构建基层社会治理格局。探索“五社联动”社区治理新路径，通过向第三方力量购买服务的方式，创新政府服务模式，发挥社会组织作用。充分发挥村规民约和居民公约在社会治理和社区建设中的积极作用。</w:t>
        <w:br/>
        <w:t>（四）进一步强化区划地名管理。持续用力做好新源县撤县设市工作，由民政部门牵头加强跑办力度，各职能部门配合，民政局跑办掌握第一手资料为县委提供依据。按照地名管理要求，做好新建小区命名到民政局备案登记工作。</w:t>
        <w:br/>
        <w:t>（五）进一步规范管理社会组织。做好社会组织登记注册、注销变更、备案年检等工作，使社会组织管理工作步入规范化。</w:t>
        <w:br/>
        <w:t>（六）进一步加大慈善总会募捐力度。拓宽募捐渠道，全方位、多角度对募捐进行宣传，动员社会力量参与，科学设计募捐项目，根据慈善组织公开募捐管理办法，申请募捐资质，加大募捐力度，形成推动慈善募捐的强大合力。</w:t>
        <w:br/>
        <w:t>（七）进一步筑牢民政领域安全屏障。严格落实“三管三必须”安全责任，切实加强民政领域服务机构消防、食品、房屋、道路交通等各方面安全检查。认真落实各项措施和上级民政部门防控要求，对养老机构、儿童福利机构等人员相对集中的机构，结合实际，优化防控措施。</w:t>
        <w:br/>
        <w:t>（八）进一步加强项目跑办力度。加强历年项目预算的执行力度，围绕15分钟居家养老圈等，加大项目支付力度，增加项目跑办力度，在自治区、自治州争取更多项目。自治区民政厅按照2023年9月底项目支付率为准，却定是否给县市2024年项目。州民政局根据项目资金支付率，决定2024年项目。2024年，一是力争总投资1800万元的3个社区居家养老服务网络建设项目。二是力争跑办婚姻登记点2处，那拉提景区和新源县城天鹅湖各一处。三是跑办总投资270万元新源县殡仪馆配套设施建设项目。</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民政局年初预算安排7000.07万元，其中财政拨款6989.27万元，其他资金10.8万元，主要用于儿童福利项目230.72万元,老年福利项目210.51万元，殡葬19.9万元，养老服务项目4.44万元，残疾人护理补贴及生活补贴支出项目648万元，城市最低生活保障金支出1044.56万元，农村最低生活保障金支出3355.3万元，临时救助支出项目175.8万元，流浪乞讨人员救助支出项目5万元，农村特困人员救助供养支出项目163.57万元，城市特困人员救助供养支出项目14.58万元，其他农村生活救助1.58万元，用于社会福利的彩票公益金支出703.65万元。</w:t>
        <w:br/>
        <w:t>年中调整2050.16万元，调整后全年预算9050.23万元，预算调整率29.28%，调整预算的主要原因为2024年困难群众中的城乡低保、农村特困老人的补助标准提高上级下拨的救助补助增加。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局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局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我局已按要求在新源县人民政府门户网站公开部门预算信息，同步公开绩效目标表；在新源县人民政府门户网站公开部门决算信息，同步公开自评表及自评报告。1.基本支出情况</w:t>
        <w:br/>
        <w:t>2024年基本支出支出414.91万元，包括工资福利支出388.65万元，商品和服务支出10.37万元，对个人和家庭的补助15.89万元，资本性支出0万元。(其中：在职23人的工资113.28万元、津贴补贴84.76万元、奖金65.82万元、绩效工资18.86万元、养老39.9万元、职工基本医疗19.95万元、住房公积金支出31.52万元、其他社会保障支出3.8万元、其他工资福利支出0万元），商品和服务支出10.37万元(其中：差旅费0.92万元、公务用车4辆的用车费及维护费0.5万元、办公费0.42万元、咨询费3.03万元、培训费2.5万元、工会经费1.24万元、劳务费0.4万元、维修费0.09万元、邮电费0.67万元、公务接待费0.28万元、其他商品和服务支出0.27万元），对个人和家庭的补助15.89万元（主要包括：离休0人的离休费0万元、退休18人的退休费13.56万元、生活补助支出1.73万元、奖励金0.6万元）。</w:t>
        <w:br/>
        <w:t>其中：“三公”经费支出10.37万元，比上年减少0.27万元，主要原因是按八项规定精神厉行节约；会议费支出0万元，比上年增加（减少）0万元，主要原因是减少会议执行；培训费支出2.5万元，比上年增加1.4万元，主要原因是上级为了提升民政部门业务能力水平增加培训的频次。</w:t>
        <w:br/>
        <w:t>2.专项资金支出情况</w:t>
        <w:br/>
        <w:t>2024年专项项目支出8635.32万元，占总支出的95.42％，主要用于1.儿童福利项目230.72万元,2.老年福利项目210.51万元，3.殡葬19.9万元，4.养老服务项目4.44万元，5.残疾人护理补贴及生活补贴支出项目648万元，6.城市最低生活保障金支出1044.56万元，7.农村最低生活保障金支出3355.3万元，8.临时救助支出项目175.8万元，9.流浪乞讨人员救助支出项目5万元，10.农村特困人员救助供养支出项目163.57万元，11.城市特困人员救助供养支出项目14.58万元，12.其他农村生活救助1.58万元，13.用于社会福利的彩票公益金支出703.65万元。</w:t>
        <w:br/>
        <w:t>3.部门单位专项组织实施情况</w:t>
        <w:br/>
        <w:t>年初我单位下发的中央困难群众救助补助专项、2024年残疾人两项补贴专项工作计划，对项目的工作分工、任务分配、资金落实、完成时限等提出了明确、具体的要求，以确保项目保质、保量、按时完成。截至12月31日，完成专项15个，未完成专项2个。</w:t>
        <w:br/>
        <w:t>为规范专项资金使用，提高专项资金使用效益，我局主要采取四项措施。一是制订专项资金管理制度；二是各专项资金建立了专账；三是制定了项目实施方案；四是认真组织项目验收。切实保证专项资金都做到了专款专用。</w:t>
        <w:br/>
        <w:t>（1）制定了《临时救助》《特困供养人员》专项资金管理办法，各项资金使用审批流程均按规定办理。涉及“三重一大”内容，严格按照规定提请局党组会审议决定，包括项目资金分配、重大项目确定、大额资金支付等。</w:t>
        <w:br/>
        <w:t>（2）建立特困供养人员、儿童福利孤儿生活费专项资金专账，做到有据可依，有据可查。</w:t>
        <w:br/>
        <w:t>（3）制定了困难群众救助补助资金项目实施方案，确保项目正常实施。</w:t>
        <w:br/>
        <w:t>（4）认真组织困难群众救助项目验收，确保正常实施。</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单位总支出9050.23万元，预算执行率100%，其中2080201行政运行支出312.77万元，2080207行政区划和地名管理2万元，2080299其他民政管理事务支出8万元，2080505机关事业单位基本养老保险缴费支出39.9万元，2080506机关事业单位职业年金缴费支出10.41万元，2081001儿童福利248.17万元，2081002老年福利307.42万元，2081006养老服务980.48万元，2081099其他社会福利支出23.52万元，2081107残疾人生活和护理补贴699.02万元，2081901城市最低生活保障金支出943.92万元，2081902农村最低生活保障金支出，2082001临时救助支出，2082101城市特困人员救助供养支出13.87万元，2082102农村特困人员救助供养支出182.59万元，2082501其他城市生活救助21.5万元，2082502其他农村生活救助129.59万元，2101101行政单位医疗19.95万元，2101103公务员医疗补助0.3万元，2210201住房公积金31.52万元，2296002用于社会福利的彩票公益金支出700.48万元。</w:t>
        <w:br/>
        <w:t>1.基本支出使用情况</w:t>
        <w:br/>
        <w:t>2024年，新源县民政局基本支出414.9万元，占总支出的4.58％，其中：2080201行政运行312.77万元（按照功能科目描述），2080505机关事业单位基本养老保险缴费支出39.89万元，2080506机关事业单位职业年金缴费支出10.41万元，2101101行政单位医疗19.95万元，2101103公务员医疗补助0.35万元，住房公积金31.52万元。</w:t>
        <w:br/>
        <w:t>2.项目支出使用情况</w:t>
        <w:br/>
        <w:t>2024年，新源县民政局项目支出8635.32万元，占总支出的95.42％。其中：2080207行政区划和地名管理2万元，2080299其他民政管理事务支出8万元，2081001儿童福利248.17万元，2081002老年福利307.42万元，2081006养老服务980.48万元，2081099其他社会福利支出23.52万元，2081107残疾人生活和护理补贴699.02万元，2081901城市最低生活保障金支出943.92万元，2081902农村最低生活保障金支出，2082001临时救助支出，2082101城市特困人员救助供养支出13.87万元，2082102农村特困人员救助供养支出182.59万元，2082501其他城市生活救助21.5万元，2082502其他农村生活救助129.59万元，2296002用于社会福利的彩票公益金支出700.48万元。</w:t>
        <w:br/>
        <w:t>（二）部门单位整体支出绩效指标完成情况</w:t>
        <w:br/>
        <w:t>年初我单位设置部门整体绩效目标中包括一级指标2个二级指标2个，三级指标7个，指标完成情况分析如下：</w:t>
        <w:br/>
        <w:t>1.履职效能</w:t>
        <w:br/>
        <w:t>（1）数量指标</w:t>
        <w:br/>
        <w:t>指标1：城乡低保补助人数指标，指标值：9720人 ，年中监控完成值：10269人，自评完成值：10163人，指标完成率104.55 %，偏差4.55%，偏差原因及改进措施：城乡低保补助人数动态调整，指标成效分析：通过完成城乡低保工作，有效改善困难群众生活，达到预期效果。</w:t>
        <w:br/>
        <w:t>指标2：特困供养金发放人数指标 ，指标值：120人，年中监控完成值：120人，自评完成值：169人，指标完成率 140.8%，偏差40.8%，偏差原因及改进措施：特困供养发放人数动态调整，指标成效分析：通过完成特困供养工作，有效改善特困老人生活，达到预期效果。</w:t>
        <w:br/>
        <w:t>指标3：城乡困难残疾人生活补贴发放人数，指标值：1982人，年中监控完成值：2073人，自评完成值：2158人，指标完成率 108.88 %偏差8.88%，偏差原因及改进措施：残疾人生活补贴发放人数动态调整，指标成效分析：通过完成残疾人生活补贴发放工作，有效改善困难残疾人生活，达到预期效果。</w:t>
        <w:br/>
        <w:t>指标4：重度残疾人护理补贴发放人数，指标值：2512人，年中监控完成值：2644人，自评完成值：3074人，指标完成率122.37 %，偏差22.37%，偏差原因及改进措施：重度残疾人护理补贴发放人数动态调整，指标成效分析：完成重度残疾人护理补贴发放工作，有效改善困难残疾人生活，达到预期效果）。</w:t>
        <w:br/>
        <w:t>指标5：孤儿生活费发放人数指标 ，指标值43人，年中监控完成值：43人，自评完成值53人，指标完成率123.26%，偏差23.26%，偏差原因及改进措施：孤儿发放人数动态新增，指标成效分析：通过完成孤儿工作，有效改善孤儿生活，达到预期效果。</w:t>
        <w:br/>
        <w:t>指标6：高龄津贴发放人数指标 ，指标值3123人，年中监控完成值：3411人，自评完成值3411人，指标完成率109.22%，偏差9.22%，偏差原因及改进措施：高龄发放人数动态新增应享尽享，指标成效分析：通过完成高龄工作，有效改善高龄老人生活，达到预期效果。</w:t>
        <w:br/>
        <w:t></w:t>
        <w:br/>
        <w:t>满意度指标</w:t>
        <w:br/>
        <w:t>指标1：受助人群满意度，指标值：95% ，年中监控完成值：，自评完成值：95% ，指标完成率100%，偏差0%，偏差原因及改进措施：无偏差，指标成效分析：通过完成困难群众救助工作，有效改善困难群众生活，达到预期效果）。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固定资产台账未及时与实物进行清点，及时清理处置报废资产，固定资产管理继续加强中。</w:t>
        <w:br/>
        <w:t>（三）项目监督工作存在薄弱环节</w:t>
        <w:br/>
        <w:t>由于项目负责人在日常检查时并未形成相应的纸质检查记录并归档管理，实施单位提出的问题及建议的采纳及处理情况也未在档案中体现，不利于档案查阅者更全面的了解以前年度项目的实施情况，并据此开展工作。</w:t>
        <w:br/>
        <w:t>项目实施过程中的上报、跟踪、反馈机制尚未真正形成，对各地区项目资金的使用、实施等监管措施仍然存在改进的空间。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