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附件4：</w:t>
      </w:r>
      <w:bookmarkStart w:id="1" w:name="_GoBack"/>
      <w:bookmarkEnd w:id="1"/>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部门单位整体支出绩效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2024</w:t>
      </w:r>
      <w:r>
        <w:rPr>
          <w:rFonts w:hint="eastAsia" w:hAnsi="宋体" w:eastAsia="仿宋_GB2312" w:cs="宋体"/>
          <w:kern w:val="0"/>
          <w:sz w:val="36"/>
          <w:szCs w:val="36"/>
        </w:rPr>
        <w:t>年度）</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540" w:lineRule="exact"/>
        <w:ind w:firstLine="720" w:firstLineChars="200"/>
        <w:rPr>
          <w:rFonts w:hAnsi="宋体" w:eastAsia="仿宋_GB2312" w:cs="宋体"/>
          <w:kern w:val="0"/>
          <w:sz w:val="44"/>
          <w:szCs w:val="44"/>
        </w:rPr>
      </w:pPr>
      <w:r>
        <w:rPr>
          <w:rFonts w:hint="eastAsia" w:hAnsi="宋体" w:eastAsia="仿宋_GB2312" w:cs="宋体"/>
          <w:kern w:val="0"/>
          <w:sz w:val="36"/>
          <w:szCs w:val="36"/>
        </w:rPr>
        <w:t>部门单位名称（公章）</w:t>
      </w:r>
      <w:r>
        <w:rPr>
          <w:rFonts w:hint="eastAsia" w:ascii="仿宋" w:hAnsi="仿宋" w:eastAsia="仿宋" w:cs="仿宋"/>
          <w:kern w:val="0"/>
          <w:sz w:val="44"/>
          <w:szCs w:val="44"/>
        </w:rPr>
        <w:t>：</w:t>
      </w:r>
      <w:r>
        <w:rPr>
          <w:rStyle w:val="6"/>
          <w:rFonts w:hint="eastAsia" w:ascii="仿宋" w:hAnsi="仿宋" w:eastAsia="仿宋" w:cs="仿宋"/>
          <w:b w:val="0"/>
          <w:bCs w:val="0"/>
          <w:spacing w:val="-4"/>
          <w:sz w:val="44"/>
          <w:szCs w:val="44"/>
        </w:rPr>
        <w:t>新源县疾病预防控制中心</w:t>
      </w:r>
    </w:p>
    <w:p>
      <w:pPr>
        <w:spacing w:line="540" w:lineRule="exact"/>
        <w:ind w:firstLine="720" w:firstLineChars="200"/>
        <w:rPr>
          <w:rFonts w:ascii="仿宋" w:hAnsi="仿宋" w:eastAsia="仿宋" w:cs="仿宋"/>
          <w:kern w:val="0"/>
          <w:sz w:val="44"/>
          <w:szCs w:val="44"/>
        </w:rPr>
      </w:pPr>
      <w:r>
        <w:rPr>
          <w:rFonts w:hint="eastAsia" w:hAnsi="宋体" w:eastAsia="仿宋_GB2312" w:cs="宋体"/>
          <w:kern w:val="0"/>
          <w:sz w:val="36"/>
          <w:szCs w:val="36"/>
        </w:rPr>
        <w:t>填报时间：</w:t>
      </w:r>
      <w:r>
        <w:rPr>
          <w:rStyle w:val="6"/>
          <w:rFonts w:hint="eastAsia" w:ascii="仿宋" w:hAnsi="仿宋" w:eastAsia="仿宋" w:cs="仿宋"/>
          <w:b w:val="0"/>
          <w:bCs w:val="0"/>
          <w:spacing w:val="-4"/>
          <w:sz w:val="44"/>
          <w:szCs w:val="44"/>
        </w:rPr>
        <w:t>2025年03月24日</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基本概况：</w:t>
      </w:r>
    </w:p>
    <w:p>
      <w:pPr>
        <w:spacing w:line="600" w:lineRule="exact"/>
        <w:ind w:firstLine="964" w:firstLineChars="300"/>
        <w:jc w:val="left"/>
        <w:rPr>
          <w:rFonts w:hint="eastAsia" w:ascii="Arial" w:hAnsi="Arial" w:cs="Arial"/>
          <w:b/>
          <w:bCs/>
          <w:color w:val="333333"/>
          <w:sz w:val="30"/>
          <w:szCs w:val="30"/>
        </w:rPr>
      </w:pPr>
      <w:r>
        <w:rPr>
          <w:rFonts w:hint="eastAsia" w:ascii="黑体" w:hAnsi="黑体" w:eastAsia="黑体" w:cs="宋体"/>
          <w:b/>
          <w:color w:val="000000" w:themeColor="text1"/>
          <w:sz w:val="32"/>
          <w:szCs w:val="32"/>
          <w:lang w:bidi="ar"/>
          <w14:textFill>
            <w14:solidFill>
              <w14:schemeClr w14:val="tx1"/>
            </w14:solidFill>
          </w14:textFill>
        </w:rPr>
        <w:t>（一）</w:t>
      </w:r>
      <w:r>
        <w:rPr>
          <w:rFonts w:ascii="黑体" w:hAnsi="黑体" w:eastAsia="黑体" w:cs="宋体"/>
          <w:b/>
          <w:color w:val="000000" w:themeColor="text1"/>
          <w:sz w:val="32"/>
          <w:szCs w:val="32"/>
          <w:lang w:bidi="ar"/>
          <w14:textFill>
            <w14:solidFill>
              <w14:schemeClr w14:val="tx1"/>
            </w14:solidFill>
          </w14:textFill>
        </w:rPr>
        <w:t>部门单位基本情况</w:t>
      </w:r>
      <w:r>
        <w:rPr>
          <w:rFonts w:hint="eastAsia" w:ascii="Arial" w:hAnsi="Arial" w:cs="Arial"/>
          <w:b/>
          <w:bCs/>
          <w:color w:val="333333"/>
          <w:sz w:val="30"/>
          <w:szCs w:val="30"/>
        </w:rPr>
        <w:t>：</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1.主要职能</w:t>
        <w:br/>
        <w:t>根据《关于新源县卫生局所属事业单位机构编制方案的批复》（新机编办字【2008】58号），本单位主要职能有：</w:t>
        <w:br/>
        <w:t>承担对县城范围内的传染病、地方病、突发公共卫生事件的防治或进行科学性的流行病学调查，制定防治方案，为政府提供决策依据，为医疗机构确定治疗方案，提供有价值的参数，根据突发公共卫生事件的规模，速度、及时制定或启动突发公共卫生事件处置预案。</w:t>
        <w:br/>
        <w:t>开展对传染病、地方病、艾滋病、包虫病，结核病、慢病的流调、筛查、防治、督导、监测以及网络直报。</w:t>
        <w:br/>
        <w:t>依据学校卫生管理条例，对全县学校，托幼机构进行生长、发育、噪音，亮度进行检查、监督、监测。</w:t>
        <w:br/>
        <w:t>做好0一7岁儿童的生物制品预防接种及免疫规划，并完成对免疫水平和抗体的测定。</w:t>
        <w:br/>
        <w:t>为保证食品安全，对县域内的食品生产厂家的产品进行微量元素的监测。</w:t>
        <w:br/>
        <w:t>2.机构设置及人员情况</w:t>
        <w:br/>
        <w:t>新源县疾病预防控制中心包括本级机关及0个直属事业单位，中心内设11个科室（办公室、财务科、结防科、艾防科、地方病科、传防科、免规科、慢病科、检验科、职业病科、学校卫生科）。</w:t>
        <w:br/>
        <w:t></w:t>
        <w:br/>
        <w:t>其中：办公室主要负责 1、在中心主任领导下负责协调全中心各个科室行政和业务工作痕迹资料收集、整理。归纳起草全中心工作计划、总结起草和处理中心综合性来往文书，审核各科起草的发文。 2、负责中心来往文件、资料的审核、做好文书的收发、归档管理、管理印鉴、打印文件、管理图书资料等工作。 3、负责组织安排全中心政治、业务学习，协助中心主任召开中心大小会务，检查中心会务决议事项的执行情况和各项规章制度执行情况。4、负责管理全中心职工考核、办理职工转正、定级、晋升和工资调整等工作。5、负责办理外单位来往有关业务，处理中心有关工作业务方面的来信，处理来访者的接待工作。6、建立健全中心职工档案，做好计划生育的宣传和管理工作。</w:t>
        <w:br/>
        <w:t>财务科主要负责：1、管理、编制中心年度收支计划，把好支出关，合理使用资金，按时编制月、季报表，办理中心年度财务预决算，提供每月财务分析。 2、严格规范各种账目，按照《事业单位会计制度》建立科学、规范的会计账薄。完善中心固定资产、库存物资、药品的应收、应付款明细账的登记。 3、负责全中心各科的经济目标核算。</w:t>
        <w:br/>
        <w:t>结防科主要负责：1.根据省级、地(市)级结核病防治规划的要求，结合当地实际情况，在卫生健康行政部门组织下，协助制定本县结核病防治规划或工作方案，并组织实施。2.牵头负责县结核病防治规划的落实，负责对辖区内医疗机构和基层公共卫生机构的培训、技术指导和技术考核。3.在卫生健康行政部门的组织领导下，建立与县级定点医疗机构和基层医疗卫生机构间的例会工作制度，按月度开展工作协调和沟通。4.负责所辖县结核病管理信息系统的维护、更新和安全管理;开展辖区内肺结核疫情的监测、报告和通报;对聚集性疫情开展流行病学调查和现场处置。5.牵头组织开展结核病重点人群的监测与预防控制、肺结核或者疑似肺结核患者及密切接触者的追踪、以及对基层报告的失访患者开展追访等工作。6.组织开展辖区内患者管理和实验室工作的质量控制。7.组织开展辖区内结核病防治健康教育工作。</w:t>
        <w:br/>
        <w:t>艾防科主要负责：1、贯彻落实《艾滋病防治条例》及《艾滋病防治规划》认真开展性病、艾滋病防制工作。2、加强艾滋病防治的宣传教育力度广泛开展宣传教育提高大众预防知识水平。 3、负责艾滋病防治政策开发、高危人群干预、安全套推广、健康教育及艾滋病感染者关怀与治疗等具体防制措施的落实加强生物安全管理。4、深入开展艾滋病防治知识培训工作。 5、做好成都市监管场所艾滋病监测暨健康教育工作。 6、按规定做好艾滋病防制项目经费的管理使用。 7、做好相关基础资料的收集、整理及时上报工作信息、简报和工作总结。 </w:t>
        <w:br/>
        <w:t>地方病科主要负责：1、做好辖区内寄生虫病、地方病流行病学调查、分析掌握流行规律做好疫情预测预报制订防治规划、年度计划全面贯彻落实各项防治措施评价其效果。2、依据《传染病防治法》和《实施办法》做好疫情统计分析和上报工作。监督检查辖区内医疗卫生单位寄生虫病、地方病的管理执行情况。 3、加强传染源控制。指导并参与疫区的现场调查疫源检索标本采集分析发病流行因素提出防治措施指导参与疫区处理工作。 4、掌握人群抗体反应水平质量监控异常反应调查及时处理。5、负责对基层从事血地防工作人员进行指导、培训、考察、考核。</w:t>
        <w:br/>
        <w:t>传防科主要负责：1、系统收集辖区内的传染病发病死亡情况，开展流行病学调查、重点疾病监测、分析研究流行因素、掌握流行规律、了解疫情动态、做好疫情预测预报，为制定防制规划和年度计划提供依据参与并组织各项防疫措施落实并评价其效果。2、根据国家《传染病防治法》做好疫情管理、核实、统计、分析和上报工作。疫情报告实行微机管理。定期印发疫情简报、年度分析。对辖区内各医疗单位、社会办医疫情管理进行检查、督促。疫情资料实行档案化管理。3、遵循中心“预防为主、毫不松懈”的方针作好突发公共卫生事件的流行病学调查、传染源隔离、现场处置工作。并按突发事件报告流程报告。4、指导和参与传染病现场调查、疫源检索、流行因素分析提出防治措施做好疫区处理工作防止疫情扩散。</w:t>
        <w:br/>
        <w:t>免规科职责：1、认真贯彻执行《疫苗流通和预防接种管理条例》、《预防接种工作规范》积极开展辖区内的预防接种工作做好计免卡册证表的建立、使用和管理，保证冷链正常运转维持接种率和安全注射等工作。负责免疫接种等工作。 2、制定生物制品年度计划，组织指导预防接种工作，做好异常反应观察处理和资料收集、汇总上报。 3、有计划开展接种成功率、抗体水平监测。作好计免相应传染病疫情报告、分析、个案调查及处理。对基层计免人员定期进行业务培训交流信息、总结经验不断提高。4、负责中心疫苗的管理工作，做好疫苗进购、运输、贮存、分发负责中心冷链设备的维护、保养。</w:t>
        <w:br/>
        <w:t>慢病科主要负责：不断加强慢性非传染性疾病防治工作开展行为危险因素监测工作和健康促进工作。开展慢病患病情况、变化趋势以及与慢病相关的行为危险因素的专题调查研究，收集慢病防治有关信息，拟定防治方案指导慢病防治示范点工作的实施与效果评价。</w:t>
        <w:br/>
        <w:t>检验科主要负责：1、依据有关标准、通则、规范承担各相关科室提出的卫生检测任务。强化检测过程管理对样品收验、检测过程的原始记录、结果报告的校核及试剂仪器的使用做到规范、标准并负责相关技术资料管理、归档保证其完整性、保密性。2、参与重大食物中毒、环境污染、突发疫情、疫点的调查、取样、检测等及时、准确出具检验报告。3、负责实验室的仪器、设备、试剂、标准品、标准菌株的日常使用、管理和维护及时向有关领导和科室反映情况提出检定、维修、更新、报废意见。 4、做好检验工作业务技术管理完善实验室内部质控体系纠正检验工作中的差错使检验工作按规范进行确保检验质量。5、承担上级部门的质控考核和认证及认可工作。6、做好菌种、毒种、剧毒、易燃、易爆物品的管理精密仪器的管理各类记录、技术资料和档案的管理贯彻实施实验室各项规章制度。 7、研究、引进、验证、开发、应用检验新技术、新方法、开展新工作。</w:t>
        <w:br/>
        <w:t>职业病科主要负责：1、职业病危害因素监测与评估。2、职业健康监护管理。3、职业健康教育与培训。</w:t>
        <w:br/>
        <w:t>学校卫生科主要负责：1、学生健康监测与管理。2、学校传染病防控。3、教学环境卫生监督。4、健康教育与健康促进。5、突发公共卫生事件应对。6、学校卫生技术指导。</w:t>
        <w:br/>
        <w:t>新源县疾病预防控制中心编制数33人，实有人数60人，其中：在职31人，增加1人；退休29人，减少1人。</w:t>
      </w:r>
      <w:bookmarkStart w:id="0" w:name="_Hlk43849111"/>
      <w:bookmarkEnd w:id="0"/>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（二）</w:t>
      </w:r>
      <w:r>
        <w:rPr>
          <w:rFonts w:ascii="黑体" w:hAnsi="黑体" w:eastAsia="黑体" w:cs="宋体"/>
          <w:b/>
          <w:color w:val="000000" w:themeColor="text1"/>
          <w:sz w:val="32"/>
          <w:szCs w:val="32"/>
          <w:lang w:bidi="ar"/>
          <w14:textFill>
            <w14:solidFill>
              <w14:schemeClr w14:val="tx1"/>
            </w14:solidFill>
          </w14:textFill>
        </w:rPr>
        <w:t>部门单位年度重点工作：</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1.年度总体目标</w:t>
        <w:br/>
        <w:t>持续加强AZB、结核病、病毒性肝炎等重点传染病防控。巩固重点寄生虫病、地方病防治成果。强化疫苗预防接种。加强对近视、肥胖等学生常见病及健康危险因素的监测和综合干预。</w:t>
        <w:br/>
        <w:t>2.重点工作计划</w:t>
        <w:br/>
        <w:t>一是加强检验科标椎化建设。加强人才队伍建设，提高检验技能，以强化专业人员培训和能力建设为基础，打造一支有能力、有担当的专业化疾控队伍。</w:t>
        <w:br/>
        <w:t>二是做好艾滋病宣传工作，宣传教育内容要侧重预防知识。提高个人预防艾滋病性病感染的技能、巩固现有艾滋病监测网络，加强快速检测能力建设，开展艾滋病性病防治知识的警示教育和法制宣传、安全套推广、心里辅导、健康咨询等活动，提高HIV抗体检测比例，提高高危人群安全套使用率达到90%以上。</w:t>
        <w:br/>
        <w:t>三是做好各项慢病防治（项目工作、公共卫生工作）的前提下，根据全民健康体检疾病谱及死因分析，做好慢病干预健康宣传，在全县全面开展慢病医防融合管理工作。</w:t>
        <w:br/>
        <w:t>四是借助疾控改革契机，不断深入推进公共卫生专业机构融入紧密型医共体建设工作，完善疾控中心薪酬制度，实现“公益一类保障、二类绩效管理”的运行机制，切实提高工作人员的工作积极性。</w:t>
      </w:r>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（三）</w:t>
      </w:r>
      <w:r>
        <w:rPr>
          <w:rFonts w:ascii="黑体" w:hAnsi="黑体" w:eastAsia="黑体" w:cs="宋体"/>
          <w:b/>
          <w:color w:val="000000" w:themeColor="text1"/>
          <w:sz w:val="32"/>
          <w:szCs w:val="32"/>
          <w:lang w:bidi="ar"/>
          <w14:textFill>
            <w14:solidFill>
              <w14:schemeClr w14:val="tx1"/>
            </w14:solidFill>
          </w14:textFill>
        </w:rPr>
        <w:t>部门单位整体预算规模及安排情况：</w:t>
      </w:r>
    </w:p>
    <w:p>
      <w:pPr>
        <w:spacing w:line="600" w:lineRule="exact"/>
        <w:ind w:firstLine="960" w:firstLineChars="300"/>
        <w:jc w:val="left"/>
        <w:rPr>
          <w:rFonts w:hint="eastAsia" w:ascii="仿宋_GB2312" w:hAnsi="宋体" w:eastAsia="仿宋_GB2312"/>
          <w:bCs/>
          <w:sz w:val="32"/>
          <w:szCs w:val="32"/>
        </w:rPr>
      </w:pPr>
      <w:r>
        <w:rPr>
          <w:rFonts w:hint="eastAsia" w:ascii="仿宋_GB2312" w:hAnsi="宋体" w:eastAsia="仿宋_GB2312"/>
          <w:bCs/>
          <w:sz w:val="32"/>
          <w:szCs w:val="32"/>
        </w:rPr>
        <w:t>2024年新源疾病预防控制中心年初预算安排636.6万元，其中财政拨款556.01万元，其他资金80.59万元，主要用于人员经费及公用经费。</w:t>
        <w:br/>
        <w:t>年中调整603.09万元，调整后全年预算1239.69万元，预算调整率94.73%，调整预算的主要原因为一是人员补发2023年考核奖38.59万元、二是增加1人、三是社保基数基数增加，随着缴费也有所上调、四是增大重大传染病项目收入。</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部门单位整体支出管理及使用情况：</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（一）部门单位整体支出管理情况</w:t>
        <w:br/>
        <w:t>1.预算编制</w:t>
        <w:br/>
        <w:t>2024年我部门坚持围绕中心工作，科学谋划预算资金安排，依据规定程序和要求，及时完成部门预算编制申报，同时合理设定入库项目绩效指标、年度目标值，科学构建部门整体支出核心绩效指标体系和编报部门整体预算申请绩效报告，推动提高财政资金配置效益。</w:t>
        <w:br/>
        <w:t>2.预算执行</w:t>
        <w:br/>
        <w:t>新源县财政批复预算后，我中心按要求及时制定并报批部门预算支出计划，严格落实预算执行定期分析机制，靠前抓好支出执行，坚持严肃财经纪律，硬化预算约束，持续树牢厉行节约理念，严控一般性支出，努力降低行政运行成本。</w:t>
        <w:br/>
        <w:t>3.绩效管理</w:t>
        <w:br/>
        <w:t>2024年，我中心严格按照财政要求，落实预算绩效管理全过程，包括①注重绩效目标编制，预算编制环节注重编细编实预算需求，科学选择绩效指标，合理设置绩效目标值，并严格按照财政统一要求，规范编制事前绩效报告，为财政资金发挥效益夯实基础。②落实绩效“双监控”，预算执行过程中，以年度支出计划为基础，定期分析预算执行和绩效目标落实情况，并依托财政预算绩效管理平台分5月、8月对预算执行动态进行实时监控，发现问题及时纠偏，确保绩效目标落地落实。③扎实开展自评工作，年度终了，扎实开展预算绩效目标完成情况部门审核和自评工作。</w:t>
        <w:br/>
        <w:t>4.信息公开</w:t>
        <w:br/>
        <w:t>我中心已按要求在新源县人民政府门户网站公开部门预算信息，同步公开绩效目标表；在新源县人民政府门户网站公开部门决算信息，同步公开自评表及自评报告。</w:t>
        <w:br/>
        <w:t>（二）部门单位整体支出使用情况</w:t>
        <w:br/>
        <w:t>1.基本支出情况</w:t>
        <w:br/>
        <w:t>2024年基本支出支出576.54万元，包括工资福利支出528.74万元，商品和服务支出21.22万元，对个人和家庭的补助24.64万元，资本性支出1.94万元。其中：“三公”经费支出1.9万元，比上年减少0.4万元，主要原因是通过流程优化，资源整合，使日常工作所需的车辆维修费减少；会议费支出0万元，比上年减少0.11万元，主要原因是通过流程优化，资源整合，使日常工作所需的会议费减少；培训费支出53.5万元，比上年增加49.39万元，主要原因一是专业技能提升需求：随着公共卫生领域的不断发展，新的疾病防控技术和方法层出不穷。为了让工作人员掌握最新的检测技术、数据分析方法以及应急处置策略，疾控中心需要组织各类专业培训课程，邀请业内权威专家授课，这部分费用相较于以往常规培训有所增加。二是培训内容与形式多样化：除了传统的理论授课，还增加了实践操作培训、模拟演练以及线上线下混合式培训模式。例如为了提高疫情防控的应急能力，开展多次全流程的模拟演练，包括物资调配、人员组织、现场处置等环节，涉及大量的场地、设备和人员资源投入，从而导致培训成本上升。三是政策法规与标准更新：公共卫生相关的政策法规、行业标准持续更新，疾控中心必须确保工作人员及时了解并准确执行。为此，需开展针对性的法规标准培训，包括解读新政策、培训合规操作流程等，这也在一定程度上增加了培训工作量和费用。四是人员扩充与培训覆盖范围扩大：随着疾控事业的发展，新入职防疫人员增多，为使新员工尽快适应岗位要求，入职培训的规模和强度相应增大。同时，为提升整体团队水平，对基层防疫人员的培训覆盖面也进一步扩大，包括偏远地区人员的差旅、食宿等费用，使得培训总支出有所增长。</w:t>
        <w:br/>
        <w:t>2.专项资金支出情况</w:t>
        <w:br/>
        <w:t>2024年专项项目支出537.04万元，占总支出的48.23％，主要用于1.疾病预防控制机构工作经费，2.基本公共卫生服务补助经费，3.重大公共卫生服务项目经费。</w:t>
        <w:br/>
        <w:t>3.部门单位专项组织实施情况</w:t>
        <w:br/>
        <w:t>年初我单位下发的卫生健康体检工作经费专项、卫生健康体检工作经费专项工作计划，对项目的工作分工、任务分配、资金落实、完成时限等提出了明确、具体的要求，以确保项目保质、保量、按时完成。截至12月31日，完成专项1个，未完成专项0个。</w:t>
        <w:br/>
        <w:t>为规范专项资金使用，提高专项资金使用效益，我中心主要采取四项措施。一是制订专项资金管理制度；二是各专项资金建立了专账；三是制定了项目实施方案；四是认真组织项目验收。切实保证专项资金都做到了专款专用。</w:t>
        <w:br/>
        <w:t>（1）制定了《新源县疾病预防控制中心专项资金管理办法》，各项资金使用审批流程均按规定办理。涉及“三重一大”内容，严格按照规定提请中心支委会审议决定，包括项目资金分配、重大项目确定、大额资金支付等。</w:t>
        <w:br/>
        <w:t>（2）建立卫生健康体检工作经费专项资金专账，做到有据可依，有据可查。</w:t>
        <w:br/>
        <w:t>（3）制定了卫生健康体检工作经费项目、卫生健康体检工作经费项目实施方案，确保项目卫生健康体检顺利实施。</w:t>
        <w:br/>
        <w:t>（4）认真组织卫生健康体检工作经费项目验收，确保卫生健康体检工作质量。</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部门单位整体支出绩效分析：</w:t>
      </w:r>
    </w:p>
    <w:p>
      <w:pPr>
        <w:spacing w:line="600" w:lineRule="exact"/>
        <w:ind w:firstLine="800" w:firstLineChars="250"/>
        <w:jc w:val="left"/>
        <w:rPr>
          <w:rFonts w:ascii="仿宋_GB2312" w:hAnsi="宋体" w:eastAsia="仿宋_GB2312"/>
          <w:b/>
          <w:sz w:val="32"/>
          <w:szCs w:val="32"/>
        </w:rPr>
      </w:pPr>
      <w:r>
        <w:rPr>
          <w:rFonts w:hint="eastAsia" w:ascii="黑体" w:hAnsi="黑体" w:eastAsia="黑体" w:cs="宋体"/>
          <w:bCs/>
          <w:color w:val="333333"/>
          <w:sz w:val="32"/>
          <w:szCs w:val="32"/>
          <w:lang w:bidi="ar"/>
        </w:rPr>
        <w:t xml:space="preserve"> </w:t>
      </w:r>
      <w:r>
        <w:rPr>
          <w:rFonts w:hint="eastAsia" w:ascii="仿宋_GB2312" w:hAnsi="宋体" w:eastAsia="仿宋_GB2312"/>
          <w:bCs/>
          <w:sz w:val="32"/>
          <w:szCs w:val="32"/>
        </w:rPr>
        <w:t>（一）预算执行情况</w:t>
        <w:br/>
        <w:t>2024年新源县疾病预防控制中心总支出1063.94万元，预算执行率89.12%，其中2100408机关事业单位基本养老保险缴费支出支出53.66万元、2100401 疾病预防控制机构支出448.5万元、2100408基本公共卫生服务支出17.74万元、2100409重大公共卫生服务支出473.95万元、2101102事业单位医疗支出26.83万元、2210201住房公积金支出43.27万元。</w:t>
        <w:br/>
        <w:t>1.基本支出使用情况</w:t>
        <w:br/>
        <w:t>2024年，新源县疾病预防控制中心基本支出576.54万元，占总支出的51.77％，其中：2100408机关事业单位基本养老保险缴费支出支出53.66万元、2100401 疾病预防控制机构支出452.78万元、2101102事业单位医疗支出26.83万元、2210201住房公积金支出43.27万元。</w:t>
        <w:br/>
        <w:t>2.项目支出使用情况</w:t>
        <w:br/>
        <w:t>2024年，新源县疾病预防控制中心项目支出537.04万元，占总支出的48.23％。其中：2100401 疾病预防控制机构支出45.35万元、2100408基本公共卫生服务支出17.74万元、2100409重大公共卫生服务支出473.95万元。</w:t>
        <w:br/>
        <w:t>（二）部门单位整体支出绩效指标完成情况</w:t>
        <w:br/>
        <w:t>年初我单位设置部门整体绩效目标中包括一级指标1个二级指标2个，三级指标9个，指标完成情况分析如下：</w:t>
        <w:br/>
        <w:t>1.履职效能</w:t>
        <w:br/>
        <w:t>（1）数量指标</w:t>
        <w:br/>
        <w:t>指标1：新增县监测学校数，指标值：4所，年中监控完成值：0所，自评完成值：4所，指标完成率100%，无偏差，指标成效分析：通过完成对常见病学校健康教育宣传及干预工作，有效提升学生健康知识水平和学校健康管理的能力及改善学校卫生环境，达到降低常见病发病率的效果。</w:t>
        <w:br/>
        <w:t>（2）质量指标</w:t>
        <w:br/>
        <w:t>指标1：死因监测规范报告率，指标值：&gt;=80%，年中监控完成值：98.11%，自评完成值：98.47%，指标完成率100%无偏差，指标成效分析：通过完成对死因系统上报卡片的审核，分析产生期望寿命、慢性病早死概率等健康指标等工作，有效提高上报数据精准性，达到为国家制定社会经济发展目标和卫生政策提供科学依据的效果。</w:t>
        <w:br/>
        <w:t>指标2：以乡(镇)为单位疫苗的接种率，指标值：&gt;=95%，年中监控完成值：99.34%，自评完成值：99.3%，指标完成率100%，无偏差，指标成效分析:通过完成国家免疫规划疫苗查漏补种和脊髓灰质炎补充免疫活动工作，有效提升易感人群免疫水平，达到预防和控制传染病、减少疾病传播，保护公众健康的效果。</w:t>
        <w:br/>
        <w:t>指标3：肺结核可疑患者检查任务完成率，指标值：&gt;=85%，年中监控完成值：87.87%，自评完成值：89.17%，指标完成率100%，无偏差，指标成效分析：通过完成对肺结核可疑患者检查工作，能有效提升和改善疾病诊断的准确性、患者治疗的及时性，达到控制疾病传播、提高患者生活质量的效果。</w:t>
        <w:br/>
        <w:t>指标4：报告肺结核患者及疑似肺结核患者的总体到位率，指标值：&gt;=95%，年中监控完成值：99.01%，自评完成值：100%，指标完成率100%，无偏差，指标成效分析：通过完成肺结核患者及疑似肺结核患者总体到位治疗工作，能有效提升医疗服务质量和疾病管理水平，达到提高患者治愈率和控制疫情的效果。</w:t>
        <w:br/>
        <w:t>指标5：肺结核患者成功治疗率，指标值：&gt;=90%，年中监控完成值：97.06%，自评完成值：97.63%，指标完成率100%，无偏差，指标成效分析：通过依托定点医疗机构完成肺结核患者治疗工作，有效改善患者健康水平，提升公众对结核病防治的信心，达到减少疾病传播，降低社会整体的医疗成本和防控成本的效果。</w:t>
        <w:br/>
        <w:t>指标6：肺结核病原学阳性密切接触者筛查率，指标值：&gt;=95%，年中监控完成值：100%，自评完成值：100%，指标完成率100%，无偏差，指标成效分析:通过完成对肺结核病病原学阳性密切接触者筛查工作，有效提升早期发现能力、精准防控水平和患者管理的针对性，达到减少二代病例发生、保护重点人群健康及有助于形成全社会积极参与防控的良好氛围的效果。</w:t>
        <w:br/>
        <w:t>指标7：符合治疗条件的感染者和病人接受抗病毒治疗比例，指标值：&gt;=93%，年中监控完成值：93.8%，自评完成值：95%，指标完成率100%，无偏差，指标成效分析:通过完成艾滋病病毒感人者及病人规范随访管理工作及转介工作机制，有效提升感人者和病人的身体机能，减轻症状，达到降低感染者和病人并发症发生风险，延长寿命，提高生活质量的效果。</w:t>
        <w:br/>
        <w:t>指标8：接受抗病毒治疗的感染者和病人治疗成功率 ，指标值：&gt;=93% ，年中监控完成值：83.6%，自评完成值： 93.2% ，指标完成率100%，无偏差，指标成效分析:通过依托抗病毒治疗定点医疗机构全面强化疗效管理，对治疗失败病人及时开展督导服药和耐药监测质量工作，有效改善感人者和病人的身体状况，减轻症状，减少并发症，大幅提升生活质量，达到有效减少病毒在人群中的传播，有助于控制疾病的流行范围，减低新发感染率的效果。</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评价结论：</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2024年度部门整体支出绩效评价综合得分98.9分，评价结果为“优”。</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存在的主要问题及原因分析：</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（1）制度方面</w:t>
        <w:br/>
        <w:t>预算管理制度不够完善，存在一些漏洞。比如预算的编制方法不够科学合理，仅以上一年度预算为基础简单调整，没有充分考虑实际业务变化和发展战略，导致预算与实际执行脱节。</w:t>
        <w:br/>
        <w:t>绩效管理制度不健全，缺乏明确的绩效指标体系和考核标准，使得绩效管理难以有效开展。</w:t>
        <w:br/>
        <w:t>（2）人员方面</w:t>
        <w:br/>
        <w:t>工作人员对预算执行和绩效管理的重要性认识不足。将预算编制视为任务，执行过程中缺乏成本控制意识。</w:t>
        <w:br/>
        <w:t>工作人员的专业能力有限，缺乏预算管理和绩效评价的专业知识。例如，在绩效评价时，不能准确地收集和分析数据，影响评价结果的准确性。</w:t>
        <w:br/>
        <w:t>沟通协调方面</w:t>
        <w:br/>
        <w:t>单位各科室之间缺乏有效的沟通机制。财务科与业务科室在预算执行过程中信息不对称，业务科室可能不清楚预算的具体限制和要求，财务科也不了解业务的实际进展和资金需求变化。</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改进措施和建议：</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（1）制度建设</w:t>
        <w:br/>
        <w:t>优化预算管理制度，推广零基预算等更科学的预算编制方法。以零为基点，根据实际业务需求和发展战略，全面考虑各项收支的合理性，使预算编制更精准。</w:t>
        <w:br/>
        <w:t>建立健全绩效管理制度，构建科学合理的绩效指标体系。明确每个项目、每个环节的绩效目标，并且确定量化的考核标准，如衡量公共服务项目的绩效可以从服务质量、服务效率、服务对象满意度等方面设定指标。</w:t>
        <w:br/>
        <w:t>（2）人员培训</w:t>
        <w:br/>
        <w:t>加强培训，提高工作人员对预算执行和绩效管理的认识。通过组织定期的培训课程、研讨会等方式，让干部了解预算执行和绩效管理对单位整体运作的重要性。</w:t>
        <w:br/>
        <w:t>提升工作人员的专业素养，开展针对性的业务培训。例如，培训员工如何运用专业软件进行预算编制和绩效数据收集分析，使其能够熟练掌握预算执行和绩效管理的操作技能。</w:t>
        <w:br/>
        <w:t>沟通协调机制</w:t>
        <w:br/>
        <w:t>建立科室间的信息共享平台，加强财务与业务之间的沟通。业务及时将项目进展和资金需求反馈给财务科室，财务也将预算执行情况和相关规定传达给业务。</w:t>
      </w:r>
    </w:p>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script"/>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AwZmYzMDUwNzhmYmVmMzNlY2I1MjAwNzI2NzY5MDUifQ=="/>
  </w:docVars>
  <w:rsids>
    <w:rsidRoot w:val="00EB3604"/>
    <w:rsid w:val="00021B05"/>
    <w:rsid w:val="000B791B"/>
    <w:rsid w:val="001C7F2C"/>
    <w:rsid w:val="00340E58"/>
    <w:rsid w:val="003E45AA"/>
    <w:rsid w:val="00486CD9"/>
    <w:rsid w:val="00584481"/>
    <w:rsid w:val="00653C1A"/>
    <w:rsid w:val="0072543F"/>
    <w:rsid w:val="007A5D83"/>
    <w:rsid w:val="007A798C"/>
    <w:rsid w:val="007B51CE"/>
    <w:rsid w:val="007D7702"/>
    <w:rsid w:val="007E47F4"/>
    <w:rsid w:val="007F0F7C"/>
    <w:rsid w:val="00892E0B"/>
    <w:rsid w:val="008F0DCE"/>
    <w:rsid w:val="00916058"/>
    <w:rsid w:val="00AB72C1"/>
    <w:rsid w:val="00C10BB4"/>
    <w:rsid w:val="00CE0C6C"/>
    <w:rsid w:val="00DB647F"/>
    <w:rsid w:val="00DC7E33"/>
    <w:rsid w:val="00E40ABD"/>
    <w:rsid w:val="00E8616A"/>
    <w:rsid w:val="00EB3604"/>
    <w:rsid w:val="020B07BA"/>
    <w:rsid w:val="02656D15"/>
    <w:rsid w:val="06696209"/>
    <w:rsid w:val="0D1922F1"/>
    <w:rsid w:val="10DF6E84"/>
    <w:rsid w:val="1438599A"/>
    <w:rsid w:val="200F4073"/>
    <w:rsid w:val="24B86128"/>
    <w:rsid w:val="51C70EA9"/>
    <w:rsid w:val="54F842B6"/>
    <w:rsid w:val="64F5745B"/>
    <w:rsid w:val="656071F2"/>
    <w:rsid w:val="6BF1756B"/>
    <w:rsid w:val="6F5E1AA3"/>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theme/theme1.xml" Type="http://schemas.openxmlformats.org/officeDocument/2006/relationships/theme"/>
<Relationship Id="rId4" Target="numbering.xml" Type="http://schemas.openxmlformats.org/officeDocument/2006/relationships/numbering"/>
<Relationship Id="rId5"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57</Words>
  <Characters>328</Characters>
  <Lines>2</Lines>
  <Paragraphs>1</Paragraphs>
  <TotalTime>8</TotalTime>
  <ScaleCrop>false</ScaleCrop>
  <LinksUpToDate>false</LinksUpToDate>
  <CharactersWithSpaces>384</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2020-06-04T05:22:00Z</dcterms:created>
  <dc:creator>hongbing liu</dc:creator>
  <cp:lastModifiedBy>guxx</cp:lastModifiedBy>
  <dcterms:modified xsi:type="dcterms:W3CDTF">2024-03-15T02:49:25Z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4E2A216151A24EE5A190066F518526B7</vt:lpwstr>
  </property>
</Properties>
</file>