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黑体" w:hAnsi="黑体" w:eastAsia="黑体" w:cs="宋体"/>
          <w:color w:val="333333"/>
          <w:sz w:val="32"/>
          <w:szCs w:val="32"/>
          <w:lang w:bidi="ar"/>
        </w:rPr>
      </w:pPr>
      <w:r>
        <w:rPr>
          <w:rFonts w:hint="eastAsia" w:ascii="黑体" w:hAnsi="黑体" w:eastAsia="黑体" w:cs="宋体"/>
          <w:color w:val="333333"/>
          <w:sz w:val="32"/>
          <w:szCs w:val="32"/>
          <w:lang w:bidi="ar"/>
        </w:rPr>
        <w:t>附件4：</w:t>
      </w:r>
      <w:bookmarkStart w:id="1" w:name="_GoBack"/>
      <w:bookmarkEnd w:id="1"/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部门单位整体支出绩效</w:t>
      </w: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ascii="仿宋_GB2312" w:hAnsi="宋体" w:eastAsia="仿宋_GB2312"/>
          <w:b/>
          <w:sz w:val="32"/>
          <w:szCs w:val="32"/>
        </w:rPr>
        <w:t>2024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ind w:firstLine="720" w:firstLineChars="200"/>
        <w:rPr>
          <w:rFonts w:hAnsi="宋体" w:eastAsia="仿宋_GB2312" w:cs="宋体"/>
          <w:kern w:val="0"/>
          <w:sz w:val="44"/>
          <w:szCs w:val="44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部门单位名称（公章）</w:t>
      </w:r>
      <w:r>
        <w:rPr>
          <w:rFonts w:hint="eastAsia" w:ascii="仿宋" w:hAnsi="仿宋" w:eastAsia="仿宋" w:cs="仿宋"/>
          <w:kern w:val="0"/>
          <w:sz w:val="44"/>
          <w:szCs w:val="44"/>
        </w:rPr>
        <w:t>：</w:t>
      </w: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  <w:t>新源县第二中学</w:t>
      </w:r>
    </w:p>
    <w:p>
      <w:pPr>
        <w:spacing w:line="540" w:lineRule="exact"/>
        <w:ind w:firstLine="720" w:firstLineChars="200"/>
        <w:rPr>
          <w:rFonts w:ascii="仿宋" w:hAnsi="仿宋" w:eastAsia="仿宋" w:cs="仿宋"/>
          <w:kern w:val="0"/>
          <w:sz w:val="44"/>
          <w:szCs w:val="44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  <w:t>2025年03月24日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基本概况：</w:t>
      </w:r>
    </w:p>
    <w:p>
      <w:pPr>
        <w:spacing w:line="600" w:lineRule="exact"/>
        <w:ind w:firstLine="964" w:firstLineChars="300"/>
        <w:jc w:val="left"/>
        <w:rPr>
          <w:rFonts w:hint="eastAsia" w:ascii="Arial" w:hAnsi="Arial" w:cs="Arial"/>
          <w:b/>
          <w:bCs/>
          <w:color w:val="333333"/>
          <w:sz w:val="30"/>
          <w:szCs w:val="30"/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（一）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部门单位基本情况</w:t>
      </w:r>
      <w:r>
        <w:rPr>
          <w:rFonts w:hint="eastAsia" w:ascii="Arial" w:hAnsi="Arial" w:cs="Arial"/>
          <w:b/>
          <w:bCs/>
          <w:color w:val="333333"/>
          <w:sz w:val="30"/>
          <w:szCs w:val="30"/>
        </w:rPr>
        <w:t>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部门单位基本情况</w:t>
        <w:br/>
        <w:t>1.主要职能</w:t>
        <w:br/>
        <w:t>根据《关于重新核定县中小学校编制的通知》新机编办字（2013）13号，本单位主要职能有：</w:t>
        <w:br/>
        <w:t>1、负责贯彻党的教育方针，坚持社会主义办学方向，对学生进行德育、智育、体育、美育和劳动教育等方面的教育。</w:t>
        <w:br/>
        <w:t>2、负责配合各级人民政府依法动员适龄少年入学。</w:t>
        <w:br/>
        <w:t>3、负责制定学校教育发展规划，并抓好组织实施和落实工作。</w:t>
        <w:br/>
        <w:t>4、负责按照教育主管部门发布的指导性教学计划、教学大纲，组织实施教育教学活动。</w:t>
        <w:br/>
        <w:t>5、负责依据国家主管部门有关教学计划、课程设置等方面的规定，决定和实施本校的教学计划，组织教学评比、集体备课，对学生进行统一考核、考试等。</w:t>
        <w:br/>
        <w:t>6、负责维护学校、师生的合法权益，有权拒绝任何组织和个人对教育教学活动进行非法干涉。</w:t>
        <w:br/>
        <w:t>7、依法接受各级教育行政部门的检查指导和人民群众的监督。</w:t>
        <w:br/>
        <w:t>2.机构设置及人员情况</w:t>
        <w:br/>
        <w:t>根据《关于重新核定县中小学校编制的通知》新机编办字（2013）13号设立新源县第二只中学，内设科室为8个,分别为党政办、教科室、教务处、财务室、书记室、德育处、工会、总务处。</w:t>
        <w:br/>
        <w:t>其中：党政办主要负责主要负责起草学校工作计划，总结报告等文字材料，管理学校、党组织的印章和学校综合档案室；教务处：组织全体教师学习文化、业务、教育理论知识和新课程标准，检查督促有关教师进修计划的执行情况，大力提高教师的文化、业务水平。 </w:t>
        <w:br/>
        <w:t>书记室：负责主持学校教育教学全面工作，正确贯彻执行党和国家的教育方针、政策、法规，坚持正确的政治方向。</w:t>
        <w:br/>
        <w:t>教务处：负责组织全体教师学习文化、业务、教育理论知识和新课程标准，检查督促有关教师进修计划的执行情况，大力提高教师的文化、业务水平。</w:t>
        <w:br/>
        <w:t>德育处：负责制订学校德育工作计划，指导班主任制订班级工作计划，检查计划执行情况，期末做好工作总结；</w:t>
        <w:br/>
        <w:t>教科室：负责定期组织教师学习教育科学研究的理论，做好学校教育科学研究重要课题的确定工作，制订具体的科研方案和实施计划，并认真组织落实；</w:t>
        <w:br/>
        <w:t>总务处：负责组织教学用品，按计划订购和发放学生作业本及教师办公、班级用品，负责购买图书、资料、教具、仪器、体育器材，做好采购供应和保管工作。负责校产的使用登记、添置和维修。负责校舍、设施的修建、维护工作，安全用水、用电；</w:t>
        <w:br/>
        <w:t>工会：承担教代会工作机构的任务，按要求做好教代会的筹备及换届工作，检查、督促和落实代表提案、意见案，贯彻执行大会的决议;认真履行工会的维护、建设、参与、教育四项职能，做好教职工群众的思想政治工作，把工会办成教职工之家;发挥党联系群众的桥梁和纽带作用，坚持群众路线，为教职工服务，积极反映教职工的意见和建议；</w:t>
        <w:br/>
        <w:t>财务室：按照会计制度，认真做好记帐、算帐、结帐、报帐工作，做到凭证合法，手续完备，帐目健全，数字准确，做到定期对帐，按时结帐，如期报帐。妥善保管会计凭证、帐簿、报表和有关会计资料，定期归档。</w:t>
        <w:br/>
        <w:t>新源县第二中学编制数174，实有人数194人，其中：在职182人，增加12人；退休101人，增加5人；离休0人，增加（减少）0</w:t>
      </w:r>
      <w:bookmarkStart w:id="0" w:name="_Hlk43849111"/>
      <w:bookmarkEnd w:id="0"/>
    </w:p>
    <w:p>
      <w:pPr>
        <w:spacing w:line="600" w:lineRule="exact"/>
        <w:ind w:firstLine="964" w:firstLineChars="300"/>
        <w:jc w:val="left"/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（二）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部门单位年度重点工作：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1.年度总体目标</w:t>
        <w:br/>
        <w:t>始终坚持以《教育法》和党的教育方针为指导，全面提高教育质 量和办学效益作为根本出发点，深化内部管理体制改革和教育科研为 动力，着力打造办学理念先进，教育质量上乘，教师素质良好，学生 个性张扬，管理制度完善，人际关系和谐，文化氛围浓厚，学校特色 鲜明，努力实现办学条件标准化，教师素质专业化，学校管理精细化，学校文化示范化，学校发展特色化的品牌名校。</w:t>
        <w:br/>
        <w:t>2.重点工作计划</w:t>
        <w:br/>
        <w:t>1、实施课程统整，加强常规管理，促进质量提升。</w:t>
        <w:br/>
        <w:t>2、重视教师培训，关注日常研讨，推进课题研究。</w:t>
        <w:br/>
        <w:t>3、强化德育管理，加强德育科研，推进德育创新。</w:t>
        <w:br/>
        <w:t>4、加强安全管理，提升环境档次，保障校园和谐。</w:t>
      </w:r>
    </w:p>
    <w:p>
      <w:pPr>
        <w:spacing w:line="600" w:lineRule="exact"/>
        <w:ind w:firstLine="964" w:firstLineChars="300"/>
        <w:jc w:val="left"/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（三）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部门单位整体预算规模及安排情况：</w:t>
      </w:r>
    </w:p>
    <w:p>
      <w:pPr>
        <w:spacing w:line="600" w:lineRule="exact"/>
        <w:ind w:firstLine="960" w:firstLineChars="300"/>
        <w:jc w:val="lef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（三）部门单位整体预算规模及安排情况</w:t>
        <w:br/>
        <w:t>2024年新源县第二中学年初预算安排4241.41万元，其中财政拨款3735.68万元，其他资金505.73万元，主要用于工资福利，商品和服务支出，对个人和家庭的补助。</w:t>
        <w:br/>
        <w:t>年中调整203.66万元，调整后全年预算4445.07万元，预算调整率4.8%。调整预算的主要原因为2024年我单位的水费和暖气费由上级拨款，并将2024年初单位缴费部分一并下拨。</w:t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部门单位整体支出管理及使用情况：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（一）部门单位整体支出管理情况</w:t>
        <w:br/>
        <w:t>1.预算编制</w:t>
        <w:br/>
        <w:t>2024年我校预算编制需遵循科学规划、统筹兼顾原则，重点保障教育教学需求。调研各科室年度计划，明确教学设备、师资培训、校园维护等支出需求；按刚性支出（工资、水电）、发展性支出（信息化建设）、活动经费分层配置资金；设置10%-15%应急预备金应对突发需求；经校务会论证后报教育局审批，严格执行收支两条线管理。建立预算执行台账，每季度分析偏差，经法定程序可调整预算5%-10%，确保资金使用效益最大化。</w:t>
        <w:br/>
        <w:t>2.预算执行</w:t>
        <w:br/>
        <w:t>新源县财政局批复预算后，我校按要求及时制定并报批部门预算支出计划，严格落实预算执行定期分析机制，靠前抓好支出执行，坚持严肃财经纪律，硬化预算约束，持续树牢厉行节约理念，严控一般性支出，努力降低行政运行成本。</w:t>
        <w:br/>
        <w:t>3.绩效管理</w:t>
        <w:br/>
        <w:t>2024年，我校严格按照财政要求，落实预算绩效管理全过程，包括①注重绩效目标编制，预算编制环节注重编细编实预算需求，科学选择绩效指标，合理设置绩效目标值，并严格按照财政统一要求，规范编制事前绩效报告，为财政资金发挥效益夯实基础。②落实绩效“双监控”，预算执行过程中，以年度支出计划为基础，定期分析预算执行和绩效目标落实情况，并依托财政预算绩效管理平台分5月、8月对预算执行动态进行实时监控，发现问题及时纠偏，确保绩效目标落地落实。③扎实开展自评工作，年度终了，扎实开展预算绩效目标完成情况部门审核和自评工作。</w:t>
        <w:br/>
        <w:t>4.信息公开</w:t>
        <w:br/>
        <w:t>我校已按要求在新源县人民政府门户网站公开部门预算信息，同步公开绩效目标表；在新源县人民政府门户网站公开部门决算信息，同步公开自评表及自评报告。</w:t>
        <w:br/>
        <w:t>（二）部门单位整体支出使用情况</w:t>
        <w:br/>
        <w:t>1.基本支出情况</w:t>
        <w:br/>
        <w:t>2024年基本支出支出4445.07万元，包括工资福利支出3468.25万元；商品和服务支出780.74万元，对个人和家庭的补助196.09万元。其中：我校无“三公”经费支出和会议费支出；培训费支出18.36万元，比上年减少6.06万元，主要原因是允许教师选择培训方式，增加了教师线上（网络）培训，减少了学习（培训）成本。</w:t>
        <w:br/>
        <w:t>2.专项资金支出情况</w:t>
        <w:br/>
        <w:t>2024年专项资金支出531.59万元，主要用于商品和服务支出351.59万元。</w:t>
        <w:br/>
        <w:t>3.部门单位专项组织实施情况</w:t>
        <w:br/>
        <w:t>年初我单位下发的专户资金支付专项工作计划，对项目的工作分工、任务分配、资金落实、完成时限等提出了明确、具体的要求，以确保项目保质、保量、按时完成。截至12月31日，完成专项1个，未完成专项0个。</w:t>
        <w:br/>
        <w:t>为规范专项资金使用，提高专项资金使用效益，我单位主要采取四项措施。一是制订专项资金管理制度；二是各专项资金建立了专账；三是制定了项目实施方案；四是认真组织项目验收。切实保证专项资金都做到了专款专用。</w:t>
        <w:br/>
        <w:t>（1）制定了新源县第二中学公用经费专项资金管理办法，各项资金使用审批流程均按规定办理。涉及“三重一大”内容，严格按照规定提请局党组会审议决定，包括项目资金分配、重大项目确定、大额资金支付等。</w:t>
        <w:br/>
        <w:t>（2）建立专项资金专账，做到有据可依，有据可查。</w:t>
        <w:br/>
        <w:t>（3）制定了公用经费项目实施方案，确保项目经费专款专用。</w:t>
        <w:br/>
        <w:t>（4）认真组织公用经费项目验收，确保资金落实到位。</w:t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部门单位整体支出绩效分析：</w:t>
      </w:r>
    </w:p>
    <w:p>
      <w:pPr>
        <w:spacing w:line="600" w:lineRule="exact"/>
        <w:ind w:firstLine="800" w:firstLineChars="250"/>
        <w:jc w:val="left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黑体" w:hAnsi="黑体" w:eastAsia="黑体" w:cs="宋体"/>
          <w:bCs/>
          <w:color w:val="333333"/>
          <w:sz w:val="32"/>
          <w:szCs w:val="32"/>
          <w:lang w:bidi="ar"/>
        </w:rPr>
        <w:t xml:space="preserve"> </w:t>
      </w:r>
      <w:r>
        <w:rPr>
          <w:rFonts w:hint="eastAsia" w:ascii="仿宋_GB2312" w:hAnsi="宋体" w:eastAsia="仿宋_GB2312"/>
          <w:bCs/>
          <w:sz w:val="32"/>
          <w:szCs w:val="32"/>
        </w:rPr>
        <w:t>（一）预算执行情况</w:t>
        <w:br/>
        <w:t>2024年新源县第二中学单位总支出支出4445.07万元，预算执行率100%，其中普通教育支出3744.88万元，机关事业单位基本养老保险缴费支出355.69万元，机关事业单位职业年金缴费支出63.69万元，住房公积金280.81万元。</w:t>
        <w:br/>
        <w:t>1.基本支出使用情况</w:t>
        <w:br/>
        <w:t>2024年，新源县第二中学单位基本支出4445.07万元，占总支出的100％，其中：普通教育支出3744.88万元，行政事业单位养老支出419.38万元，住房改革支出280.81万元。</w:t>
        <w:br/>
        <w:t>2.项目支出使用情况</w:t>
        <w:br/>
        <w:t>2024年专项资金支出531.59万元，主要用于商品和服务支出351.59万元。其中，办公费176.03万元，邮电费7.41万元，维护费83.66万元，劳务费172.53万元，其他商品和服务支出55.88万元，</w:t>
        <w:br/>
        <w:t>（二）部门单位整体支出绩效指标完成情况</w:t>
        <w:br/>
        <w:t>年初我单位设置部门整体绩效目标中包括一级指标1个（履职效能）,二级指标1个，三级指标5个，指标完成情况分析如下：</w:t>
        <w:br/>
        <w:t>1.履职效能</w:t>
        <w:br/>
        <w:t>（1）质量指标</w:t>
        <w:br/>
        <w:t>指标1：高中教育毛入学率，指标值：98% ，年中监控完成值：98%，自评完成值：98%，指标完成率100%，偏差0%，偏差原因及改进措施：无，指标成效分析：通过财政县对高中学校的逐年投入，进一步推进县域标准化高中建设；实施精准控辍保学动态监测，落实贫困生专项补贴；深化职普融通改革，拓展多样化升学路径；优化教师定向培养机制，提升乡村教育质量；开展教育扶贫宣传，消除家庭观念壁垒。</w:t>
        <w:br/>
        <w:t>指标2：办学条件达标率，指标值：100%，年中监控完成值：100%，自评完成值：100% ，指标完成率100%，偏差0%，偏差原因及改进措施：无，指标成效分析：通过资源整合、硬件升级、师资强化、资金保障及信息化建设，优化教育资源配置；完善督导评估机制，实施动态监测整改，提升基础设施水平，改善教学环境质量，有效提高办学条件。</w:t>
        <w:br/>
        <w:t>指标3：高中教育巩固率，指标值：98%，年中监控完成值：98%，自评完成值：98% ，指标完成率100%，偏差0%，偏差原因及改进措施：无，指标成效分析通过课程改革、师资强化、助学政策、心理支持、家校协同、政策保障及数字化资源，多维度优化教育生态，有效提升高中巩固率至98%以上，辍学率显著下降，学业持续性与社会适应性同步增强。  </w:t>
        <w:br/>
        <w:t>指标4：青年教师培养考核覆盖率，指标值：100%，年中监控完成值：100%，自评完成值：100% ，指标完成率100%，偏差0%，偏差原因及改进措施：无，指标成效分析：通过完善考核制度、分层分类培训、强化过程督导、搭建数字化平台、优化资源供给及挂钩晋升评优等举措，可有效提升青年教师培养考核覆盖率至100%，促进师资队伍均衡发展。</w:t>
        <w:br/>
        <w:t>指标5：教师培训合格率，指标值：99%，年中监控完成值：99%，自评完成值：99% ，指标完成率101.01%，偏差1.01%，偏差原因及改进措施：无，指标成效分析：通过精准需求调研、分层分类培训、考核评估强化、专家引领指导、实践演练强化。针对性课程设计、混合式研修、严格考核与反馈跟踪，实现合格率提升至99%.</w:t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评价结论：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2024年度部门整体支出绩效评价综合得分100分，评价结果为“优</w:t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存在的主要问题及原因分析：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（一）绩效指标设置不够明确</w:t>
        <w:br/>
        <w:t>我单位部分绩效指标设置存在不够精简、指标数据无法统计和指标值设置过低等问题，部分项目绩效指标值设定为定性的指标，指标设置的科学性、合理性有待进一步提高。</w:t>
        <w:br/>
        <w:t>（二）固定资产账务管理不够细致、严谨</w:t>
        <w:br/>
        <w:t>抽查发现，各单位固定资产账务管理普遍存在入账不及时、漏入、入账信息、资产台账未登记到具体使用人等问题。</w:t>
        <w:br/>
        <w:t>（三）项目监督工作存在薄弱环节</w:t>
        <w:br/>
        <w:t>项目实施过程中的上报、跟踪、反馈机制尚未真正形成，对项目资金的使用、实施等监管措施仍然存在改进的空间。</w:t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改进措施和建议：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（一）强化部门绩效管理体系建设</w:t>
        <w:br/>
        <w:t>一是建议以规章规则的形式，出台绩效管理制度，对绩效管理的目的、意义、性质和特点，以及组织实施绩效管理的程序、步骤、方法、原则和要求进行统一的规定。二是合理设置年度任务。提高各处室对部门中长期规划的重视程度，增强相关规划的落地性、导向性。三是探索符合部门工作特点的评价指标体系。在设定绩效目标时选取相关性强的量化指标，并注重选取符合实际工作情况的指标值。</w:t>
        <w:br/>
        <w:t>（二）加强固定资产账务管理，确保账实相符</w:t>
        <w:br/>
        <w:t>针对抽查发现的问题，查找根源并改进，建议：一是加强年度政府采购台账和固定资产台账信息的比对，避免资产漏入、少入或录入不及时，二是资产领用应尽可能明确到具体使用人。三是资产入账时相关人员应再次确认发票、合同信息，避免基础信息录入错误</w:t>
        <w:br/>
        <w:t>（三）建立动态分析管理机制，提高项目监管主动性</w:t>
        <w:br/>
        <w:t>业务部门进行指导、监督和检查时进一步加强主动性，积极探索更有效和积极主动的监管方式。一方面加大对重点部门、重点项目的监控力度，并建立对重点项目实施情况按月度上报机制，及时督促相关地区对政策的落地执行，提高对项目的整体把控能力。另一方面积极主动下基层进行抽查和检查，强化对基层单位和“微权力”的管理监督。同时进一步扩大抽查覆盖面，或聘请专业第三方机构对项目运行情况进行事中、事后监控。</w:t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703BB8"/>
    <w:multiLevelType w:val="multilevel"/>
    <w:tmpl w:val="69703BB8"/>
    <w:lvl w:ilvl="0" w:tentative="0">
      <w:start w:val="1"/>
      <w:numFmt w:val="japaneseCounting"/>
      <w:lvlText w:val="%1、"/>
      <w:lvlJc w:val="left"/>
      <w:pPr>
        <w:ind w:left="1368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8" w:hanging="420"/>
      </w:pPr>
    </w:lvl>
    <w:lvl w:ilvl="2" w:tentative="0">
      <w:start w:val="1"/>
      <w:numFmt w:val="lowerRoman"/>
      <w:lvlText w:val="%3."/>
      <w:lvlJc w:val="right"/>
      <w:pPr>
        <w:ind w:left="1908" w:hanging="420"/>
      </w:pPr>
    </w:lvl>
    <w:lvl w:ilvl="3" w:tentative="0">
      <w:start w:val="1"/>
      <w:numFmt w:val="decimal"/>
      <w:lvlText w:val="%4."/>
      <w:lvlJc w:val="left"/>
      <w:pPr>
        <w:ind w:left="2328" w:hanging="420"/>
      </w:pPr>
    </w:lvl>
    <w:lvl w:ilvl="4" w:tentative="0">
      <w:start w:val="1"/>
      <w:numFmt w:val="lowerLetter"/>
      <w:lvlText w:val="%5)"/>
      <w:lvlJc w:val="left"/>
      <w:pPr>
        <w:ind w:left="2748" w:hanging="420"/>
      </w:pPr>
    </w:lvl>
    <w:lvl w:ilvl="5" w:tentative="0">
      <w:start w:val="1"/>
      <w:numFmt w:val="lowerRoman"/>
      <w:lvlText w:val="%6."/>
      <w:lvlJc w:val="right"/>
      <w:pPr>
        <w:ind w:left="3168" w:hanging="420"/>
      </w:pPr>
    </w:lvl>
    <w:lvl w:ilvl="6" w:tentative="0">
      <w:start w:val="1"/>
      <w:numFmt w:val="decimal"/>
      <w:lvlText w:val="%7."/>
      <w:lvlJc w:val="left"/>
      <w:pPr>
        <w:ind w:left="3588" w:hanging="420"/>
      </w:pPr>
    </w:lvl>
    <w:lvl w:ilvl="7" w:tentative="0">
      <w:start w:val="1"/>
      <w:numFmt w:val="lowerLetter"/>
      <w:lvlText w:val="%8)"/>
      <w:lvlJc w:val="left"/>
      <w:pPr>
        <w:ind w:left="4008" w:hanging="420"/>
      </w:pPr>
    </w:lvl>
    <w:lvl w:ilvl="8" w:tentative="0">
      <w:start w:val="1"/>
      <w:numFmt w:val="lowerRoman"/>
      <w:lvlText w:val="%9."/>
      <w:lvlJc w:val="right"/>
      <w:pPr>
        <w:ind w:left="442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AwZmYzMDUwNzhmYmVmMzNlY2I1MjAwNzI2NzY5MDUifQ=="/>
  </w:docVars>
  <w:rsids>
    <w:rsidRoot w:val="00EB3604"/>
    <w:rsid w:val="00021B05"/>
    <w:rsid w:val="000B791B"/>
    <w:rsid w:val="001C7F2C"/>
    <w:rsid w:val="00340E58"/>
    <w:rsid w:val="003E45AA"/>
    <w:rsid w:val="00486CD9"/>
    <w:rsid w:val="00584481"/>
    <w:rsid w:val="00653C1A"/>
    <w:rsid w:val="0072543F"/>
    <w:rsid w:val="007A5D83"/>
    <w:rsid w:val="007A798C"/>
    <w:rsid w:val="007B51CE"/>
    <w:rsid w:val="007D7702"/>
    <w:rsid w:val="007E47F4"/>
    <w:rsid w:val="007F0F7C"/>
    <w:rsid w:val="00892E0B"/>
    <w:rsid w:val="008F0DCE"/>
    <w:rsid w:val="00916058"/>
    <w:rsid w:val="00AB72C1"/>
    <w:rsid w:val="00C10BB4"/>
    <w:rsid w:val="00CE0C6C"/>
    <w:rsid w:val="00DB647F"/>
    <w:rsid w:val="00DC7E33"/>
    <w:rsid w:val="00E40ABD"/>
    <w:rsid w:val="00E8616A"/>
    <w:rsid w:val="00EB3604"/>
    <w:rsid w:val="020B07BA"/>
    <w:rsid w:val="02656D15"/>
    <w:rsid w:val="06696209"/>
    <w:rsid w:val="0D1922F1"/>
    <w:rsid w:val="10DF6E84"/>
    <w:rsid w:val="1438599A"/>
    <w:rsid w:val="200F4073"/>
    <w:rsid w:val="24B86128"/>
    <w:rsid w:val="51C70EA9"/>
    <w:rsid w:val="54F842B6"/>
    <w:rsid w:val="64F5745B"/>
    <w:rsid w:val="656071F2"/>
    <w:rsid w:val="6BF1756B"/>
    <w:rsid w:val="6F5E1AA3"/>
    <w:rsid w:val="7F200B83"/>
    <w:rsid w:val="7F5D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theme/theme1.xml" Type="http://schemas.openxmlformats.org/officeDocument/2006/relationships/theme"/>
<Relationship Id="rId4" Target="numbering.xml" Type="http://schemas.openxmlformats.org/officeDocument/2006/relationships/numbering"/>
<Relationship Id="rId5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</Words>
  <Characters>328</Characters>
  <Lines>2</Lines>
  <Paragraphs>1</Paragraphs>
  <TotalTime>8</TotalTime>
  <ScaleCrop>false</ScaleCrop>
  <LinksUpToDate>false</LinksUpToDate>
  <CharactersWithSpaces>384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2020-06-04T05:22:00Z</dcterms:created>
  <dc:creator>hongbing liu</dc:creator>
  <cp:lastModifiedBy>guxx</cp:lastModifiedBy>
  <dcterms:modified xsi:type="dcterms:W3CDTF">2024-03-15T02:49:25Z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4E2A216151A24EE5A190066F518526B7</vt:lpwstr>
  </property>
</Properties>
</file>