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新源县职业技术学校</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根据《关于重新核定县中小学校编制的通知》新机编办字（2013）13号，本单位主要职能有：</w:t>
        <w:br/>
        <w:t>1.培养高素质的劳动者和实用人才，提高劳动者技能。</w:t>
        <w:br/>
        <w:t>2.进行职业技能指导，职业技能培训。</w:t>
        <w:br/>
        <w:t>3.实施发展计划，拟定年度工作计划、财务预算和学校规章制度。</w:t>
        <w:br/>
        <w:t>2.机构设置及人员情况</w:t>
        <w:br/>
        <w:t>新源县职业技术学校部门包括本级机关及0个直属事业单位，机关内设5个科室（办公室、教务处、德育处、党建办、财务室）。</w:t>
        <w:br/>
        <w:t>新源县职业技术学校部门（单位）编制数34人，实有人数31人，其中：在职31人，增加1人；退休40人，减少3人；离休0人，增加0人。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全面加强党对教育工作的领导，落实教育优先发展战略，统筹规划、科学布局，优化结构、弥补短板，强化内涵、提高质量，统配资源、促进公平，深化改革。提高校企合作巩固率；持续助力家庭脱贫，帮助学生顺利完成学业，减轻家庭经济困难学生的经济负担，使享受助学金政策全面覆盖；持续提高毕业生就业率；提升教师能力素质，健全多层次、全方位的教师培训体系，使本校教师在思想政治、专业知识和教育教学水平等方面的综合素质有较大的提升。</w:t>
        <w:br/>
        <w:t>2.重点工作计划</w:t>
        <w:br/>
        <w:t>一是加快专业建设进度，提升办学达标水平</w:t>
        <w:br/>
        <w:t>进一步秉承为社会培养“技能型人才”的办学宗旨，不断优化专业设置，深化专业内涵建设，推进教学改革、争取建设一批特色鲜明、优势明显的专业群，并大力宣传引导力度，不断扩大招生规模。</w:t>
        <w:br/>
        <w:t>二是引进专业技能型人才，培养双师型教师</w:t>
        <w:br/>
        <w:t>牢固树立人才是第一资源的思想，以全面提高教师队伍的整体素质为中心，紧紧抓住引进人才、培养人才、用好人才三个环节，一是全面落实职业学校师资配备标准，加大学校选人用人自主权，采取常态化公开招聘的形式。二是从企业聘用一批能工巧匠担任专业教师，吸引优秀人才从事职业教育工作。三是依托对口援疆学校专业教师交流，引进优质教学资源。四是推进师资队伍建设工作，加大对骨干教师的专业技能培训力度，鼓励专业教师向“双师型”教师的转型工作。</w:t>
        <w:br/>
        <w:t>三是扩大对外交流与合作，争创学校工作新局面</w:t>
        <w:br/>
        <w:t>学校在不断丰富自身内涵的同时，也将不断地为学校发展营造良好的外部环境，打造广阔的发展平台。进一步扩大学校宣传力度，进行多层面、全方位的宣传，使人民群众了解职业教育，了解职业技术学校。积极对接援疆工作组，借助援疆优势资源，继续促进扬州新源两地校际交流合作。同时请上级部门领导政策扶持解决学校存在的问题，满足学生学习技能需求，改善教学条件，提高教学水平，办好新源职业教育，申请按照中职院校标准完善建设各专业实训室、活动室、体育运动场等配套设施。</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2024年新源县职业技术学校单位年初预算安排1373.45万元，其中财政拨款1145.02万元，其他资金228.43万元，主要用于工资福利支出、商品和服务支出，对个人和家庭的补助，其他资本性支出。</w:t>
        <w:br/>
        <w:t>年中调整263.52万元，调整后全年预算1636.97万元，预算调整率19.18%，调整预算的主要原因为人员工资调整。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自治区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我单位已按要求在我县人民政府门户网站公开部门预算信息，同步公开绩效目标表；在我县人民政府门户网站公开部门决算信息，同步公开自评表及自评报告。</w:t>
        <w:br/>
        <w:t>（二）部门单位整体支出使用情况</w:t>
        <w:br/>
        <w:t>1.基本支出情况</w:t>
        <w:br/>
        <w:t>2024年基本支出支出1229.37万元，包括工资福利支出556.08万元，商品和服务支出557.39万元，对个人和家庭的补助115.90万元，资本性支出0万元。其中：“三公”经费支出0万元，比上年增加0万元，主要原因是2024年未安排三公经费；会议费支出0万元，比上年增加0万元，主要原因是2024年未安排会议费；培训费支出8.54万元，比上年增加6.65万元，主要原因是增加教师培训次数。</w:t>
        <w:br/>
        <w:t>2.专项资金支出情况</w:t>
        <w:br/>
        <w:t>2024年专项项目支出300.09万元，占总支出的18.33％，主要用于中等职业教育291.19万元，其他职业教育支出8.90万元。</w:t>
        <w:br/>
        <w:t>3.部门单位专项组织实施情况</w:t>
        <w:br/>
        <w:t>年初我单位下发的现代职业教育质量提升计划资金专项工作计划，对项目的工作分工、任务分配、资金落实、完成时限等提出了明确、具体的要求，以确保项目保质、保量、按时完成。截至12月31日，完成专项1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项目资金分配办法》《新源县职业技术学校项目资金管理办法》专项资金管理办法，各项资金使用审批流程均按规定办理。涉及“三重一大”内容，严格按照规定提请局党组会审议决定，包括项目资金分配、重大项目确定、大额资金支付等。</w:t>
        <w:br/>
        <w:t>（2）建立现代职业教育质量提升计划专项资金专账，做到有据可依，有据可查。</w:t>
        <w:br/>
        <w:t>（3）制定了现代职业教育质量提升计划资金项目实施方案，确保项目流程均按规定办理。</w:t>
        <w:br/>
        <w:t>（4）认真组织现代职业教育质量提升计划资金项目验收，确保保质、保量、按时完成。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职业技术学校单位总支出1529.46万元，预算执行率93.43%，其中中等职业教育支出1048.33万元，技校教育支出88.75万元，其他职业教育支出8.89万元，其他教育费附加安排的支出279.10万元，机关事业单位基本养老保险缴费支出53.10万元，机关事业单位职业年金缴费支出9.59万元，住房保障支出41.70万元。</w:t>
        <w:br/>
        <w:t>1.基本支出使用情况</w:t>
        <w:br/>
        <w:t>2024年，新源县职业技术学校单位基本支出1229.37万元，占总支出的81.67％，其中：中等职业教育支出757.13万元，技校教育支出88.75万元，其他教育费附加安排的支出279.10万元，机关事业单位基本养老保险缴费支出53.10万元，机关事业单位职业年金缴费支出9.59万元，住房公积金支出41.70万元。</w:t>
        <w:br/>
        <w:t>2.项目支出使用情况</w:t>
        <w:br/>
        <w:t>2024年，新源县职业技术学校单位项目支出300.09万元，占总支出的18.33％。其中：中等职业教育支出291.19万元，其他职业教育支出8.90万元。</w:t>
        <w:br/>
        <w:t>（二）部门单位整体支出绩效指标完成情况</w:t>
        <w:br/>
        <w:t>年初我单位设置部门整体绩效目标中包括一级指标1个（履职效能）二级指标1个，三级指标5个，指标完成情况分析如下：</w:t>
        <w:br/>
        <w:t>1.履职效能</w:t>
        <w:br/>
        <w:t>（1）质量指标</w:t>
        <w:br/>
        <w:t>指标1：校企合作巩固率，指标值：≥98%，年中监控完成值：98%，自评完成值：98%，指标完成率100%，偏差0%，偏差原因及改进措施：无，指标成效分析：通过完成校企合作巩固率，有效提升学生实践水平，达到学生毕业即就业的效果。</w:t>
        <w:br/>
        <w:t>指标2：享受助学金政策覆盖率，指标值：≥20%，年中监控完成值：20%，自评完成值：20%，指标完成率100%，偏差0%，偏差原因及改进措施：无，指标成效分析：通过完成享受助学金政策覆盖率，有效改善学生家庭经济困难，达到每位学生都有学上效果。</w:t>
        <w:br/>
        <w:t>指标3：毕业生就业率，指标值：≥80%，年中监控完成值：0，自评完成值：80%，指标完成率100%，偏差0%，偏差原因及改进措施：无，指标成效分析：通过完成毕业生就业率，有效提升学生就业率，达到学生毕业即就业的效果。</w:t>
        <w:br/>
        <w:t>指标4：青年教师培养考核覆盖率，指标值：=100%，年中监控完成值：100%，自评完成值：100%，指标完成率100%，偏差0%，偏差原因及改进措施：无，指标成效分析：通过完成青年教师培养考核覆盖率，有效提升青年教师职业素养，达到优化教师队伍的效果。</w:t>
        <w:br/>
        <w:t>指标5：教师培训合格率，指标值：≥99%，年中监控完成值：99%，自评完成值：99%，指标完成率100%，偏差0%，偏差原因及改进措施：无，指标成效分析：通过完成教师培训合格率，有效推动教育质量整体提升，达到优化师资结构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2024年度部门整体支出绩效评价综合得分99.3分，评价结果为“优”。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（一）固定资产账务管理不够细致、严谨</w:t>
        <w:br/>
        <w:t>我单位固定资产账务管理存在入账不及时、漏入、入账信息、金额不准确或资产台账未登记到具体使用人等问题。</w:t>
        <w:br/>
        <w:t>（二）预算编制不细化，不严谨</w:t>
        <w:br/>
        <w:t>预算编制时没有按照统筹兼顾、勤俭节约、量力而行、收支平衡的原则，导致因没有预算而影响工作开展。</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（一）加强固定资产账务管理，确保账实相符</w:t>
        <w:br/>
        <w:t>一是加强年度政府采购台账和固定资产台账信息的比对，避免资产漏入、少入或录入不及时，二是资产领用应尽可能明确到具体使用人。三是资产入账时相关人员应再次确认发票、合同信息，避免基础信息录入错误。</w:t>
        <w:br/>
        <w:t>（二）细化预算编制工作，认真做好预算的编制</w:t>
        <w:br/>
        <w:t>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