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left"/>
        <w:rPr>
          <w:rFonts w:ascii="黑体" w:hAnsi="黑体" w:eastAsia="黑体" w:cs="宋体"/>
          <w:color w:val="333333"/>
          <w:sz w:val="32"/>
          <w:szCs w:val="32"/>
          <w:lang w:bidi="ar"/>
        </w:rPr>
      </w:pPr>
      <w:r>
        <w:rPr>
          <w:rFonts w:hint="eastAsia" w:ascii="黑体" w:hAnsi="黑体" w:eastAsia="黑体" w:cs="宋体"/>
          <w:color w:val="333333"/>
          <w:sz w:val="32"/>
          <w:szCs w:val="32"/>
          <w:lang w:bidi="ar"/>
        </w:rPr>
        <w:t>附件4：</w:t>
      </w:r>
      <w:bookmarkStart w:id="1" w:name="_GoBack"/>
      <w:bookmarkEnd w:id="1"/>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部门单位整体支出绩效</w:t>
      </w: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w:t>
      </w:r>
      <w:r>
        <w:rPr>
          <w:rFonts w:hint="eastAsia" w:ascii="仿宋_GB2312" w:hAnsi="宋体" w:eastAsia="仿宋_GB2312"/>
          <w:b/>
          <w:sz w:val="32"/>
          <w:szCs w:val="32"/>
        </w:rPr>
        <w:t>2024</w:t>
      </w:r>
      <w:r>
        <w:rPr>
          <w:rFonts w:hint="eastAsia" w:hAnsi="宋体" w:eastAsia="仿宋_GB2312" w:cs="宋体"/>
          <w:kern w:val="0"/>
          <w:sz w:val="36"/>
          <w:szCs w:val="36"/>
        </w:rPr>
        <w:t>年度）</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spacing w:line="540" w:lineRule="exact"/>
        <w:ind w:firstLine="720" w:firstLineChars="200"/>
        <w:rPr>
          <w:rFonts w:hAnsi="宋体" w:eastAsia="仿宋_GB2312" w:cs="宋体"/>
          <w:kern w:val="0"/>
          <w:sz w:val="44"/>
          <w:szCs w:val="44"/>
        </w:rPr>
      </w:pPr>
      <w:r>
        <w:rPr>
          <w:rFonts w:hint="eastAsia" w:hAnsi="宋体" w:eastAsia="仿宋_GB2312" w:cs="宋体"/>
          <w:kern w:val="0"/>
          <w:sz w:val="36"/>
          <w:szCs w:val="36"/>
        </w:rPr>
        <w:t>部门单位名称（公章）</w:t>
      </w:r>
      <w:r>
        <w:rPr>
          <w:rFonts w:hint="eastAsia" w:ascii="仿宋" w:hAnsi="仿宋" w:eastAsia="仿宋" w:cs="仿宋"/>
          <w:kern w:val="0"/>
          <w:sz w:val="44"/>
          <w:szCs w:val="44"/>
        </w:rPr>
        <w:t>：</w:t>
      </w:r>
      <w:r>
        <w:rPr>
          <w:rStyle w:val="6"/>
          <w:rFonts w:hint="eastAsia" w:ascii="仿宋" w:hAnsi="仿宋" w:eastAsia="仿宋" w:cs="仿宋"/>
          <w:b w:val="0"/>
          <w:bCs w:val="0"/>
          <w:spacing w:val="-4"/>
          <w:sz w:val="44"/>
          <w:szCs w:val="44"/>
        </w:rPr>
        <w:t>新源县肖尔布拉克镇卫生院</w:t>
      </w:r>
    </w:p>
    <w:p>
      <w:pPr>
        <w:spacing w:line="540" w:lineRule="exact"/>
        <w:ind w:firstLine="720" w:firstLineChars="200"/>
        <w:rPr>
          <w:rFonts w:ascii="仿宋" w:hAnsi="仿宋" w:eastAsia="仿宋" w:cs="仿宋"/>
          <w:kern w:val="0"/>
          <w:sz w:val="44"/>
          <w:szCs w:val="44"/>
        </w:rPr>
      </w:pPr>
      <w:r>
        <w:rPr>
          <w:rFonts w:hint="eastAsia" w:hAnsi="宋体" w:eastAsia="仿宋_GB2312" w:cs="宋体"/>
          <w:kern w:val="0"/>
          <w:sz w:val="36"/>
          <w:szCs w:val="36"/>
        </w:rPr>
        <w:t>填报时间：</w:t>
      </w:r>
      <w:r>
        <w:rPr>
          <w:rStyle w:val="6"/>
          <w:rFonts w:hint="eastAsia" w:ascii="仿宋" w:hAnsi="仿宋" w:eastAsia="仿宋" w:cs="仿宋"/>
          <w:b w:val="0"/>
          <w:bCs w:val="0"/>
          <w:spacing w:val="-4"/>
          <w:sz w:val="44"/>
          <w:szCs w:val="44"/>
        </w:rPr>
        <w:t>2025年03月24日</w:t>
      </w:r>
    </w:p>
    <w:p>
      <w:pPr>
        <w:spacing w:line="700" w:lineRule="exact"/>
        <w:jc w:val="left"/>
        <w:rPr>
          <w:rFonts w:hAnsi="宋体" w:eastAsia="仿宋_GB2312" w:cs="宋体"/>
          <w:kern w:val="0"/>
          <w:sz w:val="36"/>
          <w:szCs w:val="36"/>
        </w:rPr>
      </w:pPr>
    </w:p>
    <w:p>
      <w:pPr>
        <w:spacing w:line="700" w:lineRule="exact"/>
        <w:jc w:val="left"/>
        <w:rPr>
          <w:rFonts w:hAnsi="宋体" w:eastAsia="仿宋_GB2312" w:cs="宋体"/>
          <w:kern w:val="0"/>
          <w:sz w:val="36"/>
          <w:szCs w:val="36"/>
        </w:rPr>
      </w:pP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基本概况：</w:t>
      </w:r>
    </w:p>
    <w:p>
      <w:pPr>
        <w:spacing w:line="600" w:lineRule="exact"/>
        <w:ind w:firstLine="964" w:firstLineChars="300"/>
        <w:jc w:val="left"/>
        <w:rPr>
          <w:rFonts w:hint="eastAsia" w:ascii="Arial" w:hAnsi="Arial" w:cs="Arial"/>
          <w:b/>
          <w:bCs/>
          <w:color w:val="333333"/>
          <w:sz w:val="30"/>
          <w:szCs w:val="30"/>
        </w:rPr>
      </w:pPr>
      <w:r>
        <w:rPr>
          <w:rFonts w:hint="eastAsia" w:ascii="黑体" w:hAnsi="黑体" w:eastAsia="黑体" w:cs="宋体"/>
          <w:b/>
          <w:color w:val="000000" w:themeColor="text1"/>
          <w:sz w:val="32"/>
          <w:szCs w:val="32"/>
          <w:lang w:bidi="ar"/>
          <w14:textFill>
            <w14:solidFill>
              <w14:schemeClr w14:val="tx1"/>
            </w14:solidFill>
          </w14:textFill>
        </w:rPr>
        <w:t>（一）</w:t>
      </w:r>
      <w:r>
        <w:rPr>
          <w:rFonts w:ascii="黑体" w:hAnsi="黑体" w:eastAsia="黑体" w:cs="宋体"/>
          <w:b/>
          <w:color w:val="000000" w:themeColor="text1"/>
          <w:sz w:val="32"/>
          <w:szCs w:val="32"/>
          <w:lang w:bidi="ar"/>
          <w14:textFill>
            <w14:solidFill>
              <w14:schemeClr w14:val="tx1"/>
            </w14:solidFill>
          </w14:textFill>
        </w:rPr>
        <w:t>部门单位基本情况</w:t>
      </w:r>
      <w:r>
        <w:rPr>
          <w:rFonts w:hint="eastAsia" w:ascii="Arial" w:hAnsi="Arial" w:cs="Arial"/>
          <w:b/>
          <w:bCs/>
          <w:color w:val="333333"/>
          <w:sz w:val="30"/>
          <w:szCs w:val="30"/>
        </w:rPr>
        <w:t>：</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1.主要职能</w:t>
        <w:br/>
        <w:t>根据《关于新源县卫生局所属事业单位机构编制方案的批复》新机编办字[2008]（58文号），本单位主要职能有：</w:t>
        <w:br/>
        <w:t>1、提供以预防保健、基本医疗、健康教育、康复为主要内容的综合性服务；</w:t>
        <w:br/>
        <w:t>2、受县级卫生行政部门委托承担辖区内公共卫生管理，承担着全镇人民的基本医疗、预防保健及公共卫生、突发事件；</w:t>
        <w:br/>
        <w:t>3、能够满足本镇广大城乡居民的基本医疗和基本公共卫生服务需求:</w:t>
        <w:br/>
        <w:t xml:space="preserve">    4、认真执行儿童计划免疫，积极开展慢性非传染性疾病的防治工作；</w:t>
        <w:br/>
        <w:t>5、做好农村孕产妇和儿童保健工作，提高住院分娩率，改状况儿童营养状况。</w:t>
        <w:br/>
        <w:t>6、以公共卫生服务主，综合提供预防、保健和基本医疗服务。</w:t>
        <w:br/>
        <w:t>2.机构设置及人员情况</w:t>
        <w:br/>
        <w:t>新源县肖尔布拉克镇卫生院内设19个科室（门诊部、住院部、护理部、中医针灸科、预检分诊、妇幼科、药房、收费室、功能科、院感办、医政科、党建办、财务科、采购部、公卫科、体检科、防疫科、放射科、后勤。</w:t>
        <w:br/>
        <w:t>新源县肖尔布拉克镇卫生院编制数24，实有人数25人，其中：在职24人，增加1人；退休1人，增加1人；离休0人，增加（减少）0人。</w:t>
      </w:r>
      <w:bookmarkStart w:id="0" w:name="_Hlk43849111"/>
      <w:bookmarkEnd w:id="0"/>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（二）</w:t>
      </w:r>
      <w:r>
        <w:rPr>
          <w:rFonts w:ascii="黑体" w:hAnsi="黑体" w:eastAsia="黑体" w:cs="宋体"/>
          <w:b/>
          <w:color w:val="000000" w:themeColor="text1"/>
          <w:sz w:val="32"/>
          <w:szCs w:val="32"/>
          <w:lang w:bidi="ar"/>
          <w14:textFill>
            <w14:solidFill>
              <w14:schemeClr w14:val="tx1"/>
            </w14:solidFill>
          </w14:textFill>
        </w:rPr>
        <w:t>部门单位年度重点工作：</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（二）部门单位年度重点工作</w:t>
        <w:br/>
        <w:t>1.年度总体目标</w:t>
        <w:br/>
        <w:t>以习近平新时代中国特色社会主义思想为指导，紧紧围绕新疆工作总目标，完整准确贯彻新时代党的治疆方略，2024年在县委政府、县卫健委及医共体总院的正确领导下，坚持人民至上、生命至上，保护群众生命安全和身体健康，坚持以病人为中心，继续优化医疗服务环境，以构建社会主义和谐社会，建设平安卫生，构建和谐医患关系，全院干部职工团结一致，奋力拼搏，开拓进取，爱岗敬业，通过扎扎实实的努力工作，完成卫生院规定的制度，确保2024年工作稳步提升。</w:t>
        <w:br/>
        <w:t>2.重点工作计划</w:t>
        <w:br/>
        <w:t>（一）规范卫生院管理，提高服务质量，加强卫生行业作风建设，树立良好形象。</w:t>
        <w:br/>
        <w:t>坚持以病人为中心，继续优化医疗服务环境，完善医院各项管理制度。2024年我院将狠抓医疗服务质量，在院内开展医疗质量评比，加强“三基”“三严”培训；开展医疗文件书写规范的学习，提高医疗文件书写规范合格率；严格医院感染防控措施，杜绝院内感染事件。加强孕产妇系统化管理和儿童保健工作。加强《执业医师法》、《医疗事故处理条理》的学习，树立医务人员的责任感，不断地提高医疗技术，完善自我，加强作风建设，提高医务人员依法从业意识和职业素质。</w:t>
        <w:br/>
        <w:t>(二)医疗业务开展</w:t>
        <w:br/>
        <w:t>2024年我院力争全年门诊人次较去年增长30%，加大中医适宜技术的推广，力争将门诊药占比控制在45%以下；在提供优质诊疗的前提下，拓展住院患者的收治，力争全年住院人次较去年增长60%。2024年就医人员就诊服务满意度提高到90%以上。</w:t>
        <w:br/>
        <w:t>（三）积极推进社区中医药工作，进一步建立农村中医药适宜技术推广的有效途径和机制。</w:t>
        <w:br/>
        <w:t>提高全院中医药治疗水平和服务质量，重视开展中医适宜技术培训，提升中医药业务收入的比重。逐步开展中医康复治疗项目，依靠现有器材和人员，2024年力争在中医康复上取得较好成绩，满足辖区群众对中医药服务需求。</w:t>
        <w:br/>
        <w:t>（四）进一步做好乡村一体化管理工作。</w:t>
        <w:br/>
        <w:t>2024年进一步加强乡村一体化管理工作，对村卫生室的房屋，设备等基础设施建设及对村医生的培训列为重中之重，努力提高乡村医生对常见病、多发病 的医疗救助能力，发挥村卫生室在疾病防治、健康教育、预防保健等公共卫生服务中的基础性作用。做到对村卫生室工作周周有督导，月月有考评，包联村卫生室的组长定时下村去指导业务工作，乡村医生有计划的到卫生院接受培训和学习，坚决推进镇卫生院和村卫生室双向转诊制度，盘活现有资源，方便群众就诊。</w:t>
        <w:br/>
        <w:t>（五）加强公共卫生体系建设。</w:t>
        <w:br/>
        <w:t>将基本公共卫生健康档案规范率提高至90%，力争辖区广大群众的卫生知识知晓率达90%；老年人规范管理管理率提高至85%以上，中医药服务规范管理管理率提高至90%；针对高血压、糖尿病等慢性病高危人群进行指导，对35岁以上人群实行门诊首诊测血压及血糖，将高血压及糖尿病患者规范管理率提高至90%；重精规范化管理率提高至100%；妇幼、防疫各项工作指标按照国家、自治区及自治州的要求达到相关标准。</w:t>
        <w:br/>
        <w:t>提高突发公共卫生事件应急处置能力。切实加强传染病防治工作。培训督导好各级医生，做到对可疑病例及时发现及时报告，切实发挥发现疫情的“前哨关”的作用，加强预防接种管理制度，规范免疫接种门诊，提高计划免疫接种质量和接种率；开展健康教育，保持健康文明的生活方式。</w:t>
      </w:r>
    </w:p>
    <w:p>
      <w:pPr>
        <w:spacing w:line="600" w:lineRule="exact"/>
        <w:ind w:firstLine="964" w:firstLineChars="300"/>
        <w:jc w:val="left"/>
        <w:rPr>
          <w:rFonts w:hint="eastAsia"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（三）</w:t>
      </w:r>
      <w:r>
        <w:rPr>
          <w:rFonts w:ascii="黑体" w:hAnsi="黑体" w:eastAsia="黑体" w:cs="宋体"/>
          <w:b/>
          <w:color w:val="000000" w:themeColor="text1"/>
          <w:sz w:val="32"/>
          <w:szCs w:val="32"/>
          <w:lang w:bidi="ar"/>
          <w14:textFill>
            <w14:solidFill>
              <w14:schemeClr w14:val="tx1"/>
            </w14:solidFill>
          </w14:textFill>
        </w:rPr>
        <w:t>部门单位整体预算规模及安排情况：</w:t>
      </w:r>
    </w:p>
    <w:p>
      <w:pPr>
        <w:spacing w:line="600" w:lineRule="exact"/>
        <w:ind w:firstLine="960" w:firstLineChars="300"/>
        <w:jc w:val="left"/>
        <w:rPr>
          <w:rFonts w:hint="eastAsia" w:ascii="仿宋_GB2312" w:hAnsi="宋体" w:eastAsia="仿宋_GB2312"/>
          <w:bCs/>
          <w:sz w:val="32"/>
          <w:szCs w:val="32"/>
        </w:rPr>
      </w:pPr>
      <w:r>
        <w:rPr>
          <w:rFonts w:hint="eastAsia" w:ascii="仿宋_GB2312" w:hAnsi="宋体" w:eastAsia="仿宋_GB2312"/>
          <w:bCs/>
          <w:sz w:val="32"/>
          <w:szCs w:val="32"/>
        </w:rPr>
        <w:t>（三）部门单位整体预算规模及安排情况</w:t>
        <w:br/>
        <w:t>2024年新源镇卫生院年初预算安排467.72万元，其中财政拨款347.72万元，其他资金120万元，主要用于工资福利支出 、商品和服务支出 ，对个人和家庭的补助 ，其他资本性支出。  </w:t>
        <w:br/>
        <w:t>年中调整253.56万元，调整后全年预算721.28万元，预算调整率64.84%，调整预算的主要原因为人员工资增加和新增人员。</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部门单位整体支出管理及使用情况：</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（一）部门单位整体支出管理情况</w:t>
        <w:br/>
        <w:t>1.预算编制</w:t>
        <w:br/>
        <w:t>2024年我部门坚持围绕中心工作，科学谋划预算资金安排，依据规定程序和要求，及时完成部门预算编制申报，同时合理设定入库项目绩效指标、年度目标值，科学构建部门整体支出核心绩效指标体系和编报部门整体预算申请绩效报告，推动提高财政资金配置效益。</w:t>
        <w:br/>
        <w:t>2.预算执行</w:t>
        <w:br/>
        <w:t>伊犁州财政批复预算后，我单位按要求及时制定并报批部门预算支出计划，严格落实预算执行定期分析机制，靠前抓好支出执行，坚持严肃财经纪律，硬化预算约束，持续树牢厉行节约理念，严控一般性支出，努力降低行政运行成本。</w:t>
        <w:br/>
        <w:t>3.绩效管理</w:t>
        <w:br/>
        <w:t>2024年，我单位严格按照财政要求，落实预算绩效管理全过程，包括①注重绩效目标编制，预算编制环节注重编细编实预算需求，科学选择绩效指标，合理设置绩效目标值，并严格按照财政统一要求，规范编制事前绩效报告，为财政资金发挥效益夯实基础。②落实绩效“双监控”，预算执行过程中，以年度支出计划为基础，定期分析预算执行和绩效目标落实情况，并依托财政预算绩效管理平台分5月、8月对预算执行动态进行实时监控，发现问题及时纠偏，确保绩效目标落地落实。③扎实开展自评工作，年度终了，扎实开展预算绩效目标完成情况部门审核和自评工作。</w:t>
        <w:br/>
        <w:t>4.信息公开</w:t>
        <w:br/>
        <w:t>卫生院已按要求在新源县人民政府网站公开部门预算信息，同步公开绩效目标表；在新源县人民政府网站公开部门决算信息，同步公开自评表及自评报告。</w:t>
        <w:br/>
        <w:t>（二）部门单位整体支出使用情况</w:t>
        <w:br/>
        <w:t>1.基本支出情况</w:t>
        <w:br/>
        <w:t>2024年基本支出支出1033.96万元，包括工资福利支出362.15万元，商品和服务支出301.90万元，对个人和家庭的补助37.73万元，资本性支出0万元。 其中：“三公”经费支出0万元，比上年增加（减少）0万元，主要原因是新源县肖尔布拉克镇卫生院无三公经费支出；会议费支出0万元，比上年增加（减少）0万元，主要原因是新源县肖尔布拉克镇卫生院无会议费支出；培训费支出44.10万元，比上年增加44.10万元，主要原因是2024年自治区医疗服务与保障能力提升【卫生健康人才培养】补助资金分配给我院的金额比2023年多。</w:t>
        <w:br/>
        <w:t>2.专项资金支出情况</w:t>
        <w:br/>
        <w:t>2024年专项项目支出534.11万元，占总支出的73.77％，主要用于1.卫生健康支出，2.其他支出。</w:t>
        <w:br/>
        <w:t>3.部门单位专项组织实施情况</w:t>
        <w:br/>
        <w:t>年初我单位下发的社会福利的彩票公益金专项、基本公共卫生服务专项，基本药物制度专项、重大传染病防治补助资金专项、自治区医疗服务与保障能力提升【卫生健康人才培养】补助专项、计划生育服务补助资金的工作计划，对项目的工作分工、任务分配、资金落实、完成时限等提出了明确、具体的要求，以确保项目保质、保量、按时完成。截至12月31日，完成专项6个，未完成专项0个。</w:t>
        <w:br/>
        <w:t>为规范专项资金使用，提高专项资金使用效益，卫生院单位主要采取四项措施。一是制订专项资金管理制度；二是各专项资金建立了专账；三是制定了项目实施方案；四是认真组织项目验收。切实保证专项资金都做到了专款专用。</w:t>
        <w:br/>
        <w:t>（1）制定了《基本公共卫生服务》《基本药物制度》等专项资金管理办法，各项资金使用审批流程均按规定办理。涉及“三重一大”内容，严格按照规定提请局党组会审议决定，包括项目资金分配、重大项目确定、大额资金支付等。</w:t>
        <w:br/>
        <w:t>（2）建立各项专项资金专账，做到有据可依，有据可查。</w:t>
        <w:br/>
        <w:t>（3）制定了基本公共卫生服务项目、基本药物制度项目实施方案，确保项目正常开展实施，完成支付进度。</w:t>
        <w:br/>
        <w:t>（4）认真组织对各项项目验收，确保按时完成支付率。</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部门单位整体支出绩效分析：</w:t>
      </w:r>
    </w:p>
    <w:p>
      <w:pPr>
        <w:spacing w:line="600" w:lineRule="exact"/>
        <w:ind w:firstLine="800" w:firstLineChars="250"/>
        <w:jc w:val="left"/>
        <w:rPr>
          <w:rFonts w:ascii="仿宋_GB2312" w:hAnsi="宋体" w:eastAsia="仿宋_GB2312"/>
          <w:b/>
          <w:sz w:val="32"/>
          <w:szCs w:val="32"/>
        </w:rPr>
      </w:pPr>
      <w:r>
        <w:rPr>
          <w:rFonts w:hint="eastAsia" w:ascii="黑体" w:hAnsi="黑体" w:eastAsia="黑体" w:cs="宋体"/>
          <w:bCs/>
          <w:color w:val="333333"/>
          <w:sz w:val="32"/>
          <w:szCs w:val="32"/>
          <w:lang w:bidi="ar"/>
        </w:rPr>
        <w:t xml:space="preserve"> </w:t>
      </w:r>
      <w:r>
        <w:rPr>
          <w:rFonts w:hint="eastAsia" w:ascii="仿宋_GB2312" w:hAnsi="宋体" w:eastAsia="仿宋_GB2312"/>
          <w:bCs/>
          <w:sz w:val="32"/>
          <w:szCs w:val="32"/>
        </w:rPr>
        <w:t>（一）预算执行情况</w:t>
        <w:br/>
        <w:t>2024年新源镇卫生院单位总支出721.28万元，预算执行率100%，其中社会保障和就业支出47.19万元，卫生健康支出644.91万元，住房保障支出28.63万元，其他支出0.55万元。</w:t>
        <w:br/>
        <w:t>1.基本支出使用情况</w:t>
        <w:br/>
        <w:t>2024年，新源县肖尔布拉克镇卫生院基本支出562.78万元，占总支出的78.03％，其中：事业单位基本养老保险缴费支出47.19万元，基层医疗卫生机构471.31万元，事业单位医疗15.65万元，住房公积金28.63万元。</w:t>
        <w:br/>
        <w:t>2.项目支出使用情况</w:t>
        <w:br/>
        <w:t>2024年，新源县肖尔布拉克镇卫生院项目支出158.50万元，占总支出的21.97％。其中：卫生健康支出157.95元，其他支出0.55万元。</w:t>
        <w:br/>
        <w:t>（二）部门单位整体支出绩效指标完成情况</w:t>
        <w:br/>
        <w:t>年初我单位设置部门整体绩效目标中包括一级指标2个（ 履职效能、 服务对象满意度）二级指标3个，三级指标7个，指标完成情况分析如下：</w:t>
        <w:br/>
        <w:t xml:space="preserve"> 1.履职效能</w:t>
        <w:br/>
        <w:t>（1）数量指标</w:t>
        <w:br/>
        <w:t>指标1：公共卫生服务项目数量 ，指标值：=14项 ，年中监控完成值：7项，自评完成值： 14项 ，指标完成率 100%，偏差0%，偏差原因及改进措施：无，指标成效分析：通过公共卫生服务项目数量，有效提升职工知晓公卫工作的种类，达到预期服务群众效果。</w:t>
        <w:br/>
        <w:t>指标2：完成基本药物采购种类 ，指标值：&gt;=220类 ，年中监控完成值：220类，自评完成值：220类 ，指标完成率 100 %，偏差0%，偏差原因及改进措施：无，指标成效分析：通过知道基本药物采购种类，有效提升药房工作人员对药品品种知晓的能力，达到预期效果。</w:t>
        <w:br/>
        <w:t>指标3：专业技术人员进修人数 ，指标值：&gt;=15人，年中监控完成值：8人，自评完成值：47人，指标完成率 313.33%，偏差213.33%，偏差原因及改进措施：年初专业技术人员培训学习计划制定不准确，指标值指定偏低,指标成效分析:通过完成专业技术人员培训工作，有效提升卫生院专业技术能力，达到预期效果。</w:t>
        <w:br/>
        <w:t>指标4：规范开展特色医疗项目专业技术种类 ，指标值：&gt;=1类 ，年中监控完成值：1类，自评完成值：1类 ，指标完成率100%，偏差0% 。偏差原因及改进措施：无，指标成效分析：通过完成规范开展特色医疗项目专业技术种类工作，有效提升中医医生掌握学习中医专业技术能力，达到更好的为群众服务效果。</w:t>
        <w:br/>
        <w:t>（2）质量指标</w:t>
        <w:br/>
        <w:t>指标1：城乡居民全民健康体检覆盖率，指标值：&gt;=90%，年中监控完成值：100%，自评完成值：100% ，指标完成率 111 .11%，偏差11.11%，偏差原因及改进措施：新源县卫健委2024年硬性指标规定新源县肖尔布拉克镇卫生院截至6月30日城乡居民全民健康体检覆盖率超过90%，因此新源县肖尔布拉克镇卫生院城乡居民全民健康体检覆盖率达100%。指标成效分析:通过完成全民体检工作，有效改善相应国家优惠利民政策，达到让群众满意。</w:t>
        <w:br/>
        <w:t>指标2：居民健康档案建档率，指标值：&gt;=90% ，年中监控完成值=00%，自评完成值：100% ，指标完成率111.11%，偏差111.11%，偏差原因及改进措施：新源县卫健委2024年硬性指标规定新源县肖尔布拉克镇卫生院截至6月30日居民健康建档率超过90%，因此居民健康档案建档率达111.11% ，指标成效分析:通过完成居民健康档案建档率，有效提升群众的监控力度，达到更好的为群众服务的效果。</w:t>
        <w:br/>
        <w:t>6.服务对象满意度</w:t>
        <w:br/>
        <w:t>（1）满意度指标</w:t>
        <w:br/>
        <w:t>指标1：就医人员满意度 ，指标值：&gt;=90% ，年中监控不跟踪，自评完成值：95% ，指标完成率105.55%，偏差5.55%。偏差原因及改进措施：无，指标成效分析：通过完成就医人员满意度，有效提升职工工作的积极性，达到更好的为群众服务的效果。</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评价结论：</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 xml:space="preserve">2024年度部门整体支出绩效评价综合得分100分，评价结果为“优”。 </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存在的主要问题及原因分析：</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(一）绩效指标设置不够明确</w:t>
        <w:br/>
        <w:t>我单位部分绩效指标设置存在不够精简、指标数据无法统计和指标值设置过低等问题，部分项目绩效指标值设定为定性的指标，指标设置的科学性、合理性有待进一步提高。</w:t>
        <w:br/>
        <w:t>（二）固定资产账务管理不够细致、严谨</w:t>
        <w:br/>
        <w:t>抽查发现，各单位固定资产账务管理普遍存在入账不及时、漏入、入账信息、金额不准确或资产台账未登记到具体使用人等问题。</w:t>
        <w:br/>
        <w:t>（三）项目监督工作存在薄弱环节</w:t>
        <w:br/>
        <w:t>项目实施过程中的上报、跟踪、反馈机制尚未真正形成，对各地区项目资金的使用、实施等监管措施仍然存在改进的空间。</w:t>
      </w:r>
    </w:p>
    <w:p>
      <w:pPr>
        <w:numPr>
          <w:ilvl w:val="0"/>
          <w:numId w:val="1"/>
        </w:numPr>
        <w:snapToGrid w:val="0"/>
        <w:spacing w:line="540" w:lineRule="exact"/>
        <w:rPr>
          <w:rFonts w:ascii="黑体" w:hAnsi="黑体" w:eastAsia="黑体" w:cs="宋体"/>
          <w:b/>
          <w:color w:val="000000" w:themeColor="text1"/>
          <w:sz w:val="32"/>
          <w:szCs w:val="32"/>
          <w:lang w:bidi="ar"/>
          <w14:textFill>
            <w14:solidFill>
              <w14:schemeClr w14:val="tx1"/>
            </w14:solidFill>
          </w14:textFill>
        </w:rPr>
      </w:pPr>
      <w:r>
        <w:rPr>
          <w:rFonts w:hint="eastAsia" w:ascii="黑体" w:hAnsi="黑体" w:eastAsia="黑体" w:cs="宋体"/>
          <w:b/>
          <w:color w:val="000000" w:themeColor="text1"/>
          <w:sz w:val="32"/>
          <w:szCs w:val="32"/>
          <w:lang w:bidi="ar"/>
          <w14:textFill>
            <w14:solidFill>
              <w14:schemeClr w14:val="tx1"/>
            </w14:solidFill>
          </w14:textFill>
        </w:rPr>
        <w:t>改进措施和建议：</w:t>
      </w:r>
    </w:p>
    <w:p>
      <w:pPr>
        <w:spacing w:line="600" w:lineRule="exact"/>
        <w:ind w:firstLine="960" w:firstLineChars="300"/>
        <w:jc w:val="left"/>
        <w:rPr>
          <w:rFonts w:ascii="仿宋_GB2312" w:hAnsi="宋体" w:eastAsia="仿宋_GB2312"/>
          <w:bCs/>
          <w:sz w:val="32"/>
          <w:szCs w:val="32"/>
        </w:rPr>
      </w:pPr>
      <w:r>
        <w:rPr>
          <w:rFonts w:hint="eastAsia" w:ascii="仿宋_GB2312" w:hAnsi="宋体" w:eastAsia="仿宋_GB2312"/>
          <w:bCs/>
          <w:sz w:val="32"/>
          <w:szCs w:val="32"/>
        </w:rPr>
        <w:t>（一）强化部门绩效管理体系建设</w:t>
        <w:br/>
        <w:t>一是建议以规章规则的形式，出台绩效管理制度，对绩效管理的目的、意义、性质和特点，以及组织实施绩效管理的程序、步骤、方法、原则和要求进行统一的规定。二是合理设置年度任务。提高各处室对部门中长期规划的重视程度，增强相关规划的落地性、导向性。三是探索符合部门工作特点的评价指标体系。在设定绩效目标时选取相关性强的量化指标，并注重选取符合实际工作情况的指标值。</w:t>
        <w:br/>
        <w:t>（二）加强固定资产账务管理，确保账实相符</w:t>
        <w:br/>
        <w:t>针对抽查发现的问题，查找根源并改进，建议：一是加强年度政府采购台账和固定资产台账信息的比对，避免资产漏入、少入或录入不及时，二是资产领用应尽可能明确到具体使用人。三是资产入账时相关人员应再次确认发票、合同信息，避免基础信息录入错误</w:t>
        <w:br/>
        <w:t>（三）建立动态分析管理机制，提高项目监管主动性</w:t>
        <w:br/>
        <w:t>业务部门进行指导、监督和检查时进一步加强主动性，积极探索更有效和积极主动的监管方式。一方面要建立重点项目实施过程的反馈机制，依托相关新源县农村信用合作联信息平台，加大对重点部门、重点项目的监控力度，并建立对重点项目实施情况按月度上报机制，及时督促相关地区对政策的落地执行，提高对项目的整体把控能力。另一方面积极主动下基层进行抽查和检查，强化对基层单位和“微权力”的管理监督。同时进一步扩大抽查覆盖面，或聘请专业第三方机构对项目运行情况进行事中、事后监控。</w:t>
      </w:r>
    </w:p>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DAwZmYzMDUwNzhmYmVmMzNlY2I1MjAwNzI2NzY5MDUifQ=="/>
  </w:docVars>
  <w:rsids>
    <w:rsidRoot w:val="00EB3604"/>
    <w:rsid w:val="00021B05"/>
    <w:rsid w:val="000B791B"/>
    <w:rsid w:val="001C7F2C"/>
    <w:rsid w:val="00340E58"/>
    <w:rsid w:val="003E45AA"/>
    <w:rsid w:val="00486CD9"/>
    <w:rsid w:val="00584481"/>
    <w:rsid w:val="00653C1A"/>
    <w:rsid w:val="0072543F"/>
    <w:rsid w:val="007A5D83"/>
    <w:rsid w:val="007A798C"/>
    <w:rsid w:val="007B51CE"/>
    <w:rsid w:val="007D7702"/>
    <w:rsid w:val="007E47F4"/>
    <w:rsid w:val="007F0F7C"/>
    <w:rsid w:val="00892E0B"/>
    <w:rsid w:val="008F0DCE"/>
    <w:rsid w:val="00916058"/>
    <w:rsid w:val="00AB72C1"/>
    <w:rsid w:val="00C10BB4"/>
    <w:rsid w:val="00CE0C6C"/>
    <w:rsid w:val="00DB647F"/>
    <w:rsid w:val="00DC7E33"/>
    <w:rsid w:val="00E40ABD"/>
    <w:rsid w:val="00E8616A"/>
    <w:rsid w:val="00EB3604"/>
    <w:rsid w:val="020B07BA"/>
    <w:rsid w:val="02656D15"/>
    <w:rsid w:val="06696209"/>
    <w:rsid w:val="0D1922F1"/>
    <w:rsid w:val="10DF6E84"/>
    <w:rsid w:val="1438599A"/>
    <w:rsid w:val="200F4073"/>
    <w:rsid w:val="24B86128"/>
    <w:rsid w:val="51C70EA9"/>
    <w:rsid w:val="54F842B6"/>
    <w:rsid w:val="64F5745B"/>
    <w:rsid w:val="656071F2"/>
    <w:rsid w:val="6BF1756B"/>
    <w:rsid w:val="6F5E1AA3"/>
    <w:rsid w:val="7F200B83"/>
    <w:rsid w:val="7F5D58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styleId="6">
    <w:name w:val="Strong"/>
    <w:basedOn w:val="5"/>
    <w:qFormat/>
    <w:uiPriority w:val="0"/>
    <w:rPr>
      <w:b/>
      <w:bCs/>
    </w:rPr>
  </w:style>
  <w:style w:type="character" w:customStyle="1" w:styleId="7">
    <w:name w:val="页眉 字符"/>
    <w:basedOn w:val="5"/>
    <w:link w:val="3"/>
    <w:qFormat/>
    <w:uiPriority w:val="99"/>
    <w:rPr>
      <w:sz w:val="18"/>
      <w:szCs w:val="18"/>
    </w:rPr>
  </w:style>
  <w:style w:type="character" w:customStyle="1" w:styleId="8">
    <w:name w:val="页脚 字符"/>
    <w:basedOn w:val="5"/>
    <w:link w:val="2"/>
    <w:qFormat/>
    <w:uiPriority w:val="99"/>
    <w:rPr>
      <w:sz w:val="18"/>
      <w:szCs w:val="18"/>
    </w:rPr>
  </w:style>
  <w:style w:type="paragraph" w:styleId="9">
    <w:name w:val="List Paragraph"/>
    <w:basedOn w:val="1"/>
    <w:qFormat/>
    <w:uiPriority w:val="34"/>
    <w:pPr>
      <w:ind w:firstLine="420" w:firstLineChars="200"/>
    </w:p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theme/theme1.xml" Type="http://schemas.openxmlformats.org/officeDocument/2006/relationships/theme"/>
<Relationship Id="rId4" Target="numbering.xml" Type="http://schemas.openxmlformats.org/officeDocument/2006/relationships/numbering"/>
<Relationship Id="rId5"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57</Words>
  <Characters>328</Characters>
  <Lines>2</Lines>
  <Paragraphs>1</Paragraphs>
  <TotalTime>8</TotalTime>
  <ScaleCrop>false</ScaleCrop>
  <LinksUpToDate>false</LinksUpToDate>
  <CharactersWithSpaces>384</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2020-06-04T05:22:00Z</dcterms:created>
  <dc:creator>hongbing liu</dc:creator>
  <cp:lastModifiedBy>guxx</cp:lastModifiedBy>
  <dcterms:modified xsi:type="dcterms:W3CDTF">2024-03-15T02:49:25Z</dcterms:modified>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4E2A216151A24EE5A190066F518526B7</vt:lpwstr>
  </property>
</Properties>
</file>