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新源县那拉提镇农场小学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根据《关于重新核定县中小学校编制的通知》新机编办字[2013]13号文，本单位主要职能有：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2.机构设置及人员情况</w:t>
        <w:br/>
        <w:t>新源县那拉提镇农场小学内设5个科室（党建办、教务处、政教处、教科室、后勤处）。</w:t>
        <w:br/>
        <w:t>新源县那拉提镇农场小学编制数11，实有人数32人，其中：在职32人，增加（减少）0人；退休0人，增加（减少）0人；离休0人，增加（减少）0人。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4、及时、足额的发放在职职工、特岗教师、县聘教师等人员工资、缴纳社保、住房公积金等人员经费；         </w:t>
        <w:br/>
        <w:t>5、及时支付退休人员取暖费、独生子女奖励金、遗属补助、班主任补助、寄宿生生活补助等补助类资金；</w:t>
        <w:br/>
        <w:t>6、合理使用公用经费，保障学校教育教学工作的正常运行并提高学校的办学条件。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农场小学年初预算安排628.26万元，其中财政拨款614.26万元，其他资金14万元，主要用于发放教师工资、缴纳全体教师的社保及住房、班主任费等支出，学校公用经费支出用于学校的各项日常支出，学生托管费用于发放参与托管服务的教师服务费。</w:t>
        <w:br/>
        <w:t>年中调整26.36万元，调整后全年预算645.62万元，预算调整率4.19%，调整预算的主要原因为义务教育学校的公用经费年初未纳入预算，年中做项目库申请资金。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1.基本支出情况</w:t>
        <w:br/>
        <w:t>2024年基本支出支出645.61万元，包括工资福利支出609.16万元，商品和服务支出29.66万元，对个人和家庭的补助3.33万元，资本性支出3.46万元。其中：“三公”经费支出0万元，比上年增加（减少）0万元，主要原因是本单位无“三公”经费支出；会议费支出0万元，比上年增加（减少）0万元，主要原因是本单位无会议费支出；培训费支出1.9万元，比上年增加0.80万元，主要原因是本年度安排培训人员较上年增加。</w:t>
        <w:br/>
        <w:t>2.专项资金支出情况</w:t>
        <w:br/>
        <w:t>2024年专项项目支出0万元，占总支出的0％，原因为我单位无专项资金项目支出。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2024年新源县那拉提镇农场小学单位总支出645.61万元，预算执行率100%，其中教育支出520.49万元，社会保障和就业支出76.3万元，住房保障支出48.82万元。</w:t>
        <w:br/>
        <w:t>1.基本支出使用情况</w:t>
        <w:br/>
        <w:t>2024年，新源县那拉提镇农场小学单位基本支出645.61万元，占总支出的100％，其中：教育支出520.49万元，社会保障和就业支出76.3万元，住房保障支出48.82万元。</w:t>
        <w:br/>
        <w:t>2.项目支出使用情况</w:t>
        <w:br/>
        <w:t>2024年，新源县那拉提镇农场小学单位项目支出0万元，占总支出的0％。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 xml:space="preserve">  指标1：义务教育毛入学率，指标值：≥98%，年中监控完成值：98%，自评完成值：100%，指标完成率102.04%，偏差2.04%，偏差原因及改进措施：学校接收了部门超龄学生，提高了毛入学率，指标成效分析：通过义务教育毛入学率统计，直观的反映了教育覆盖面广，所有适龄儿童都接受了义务教育，极大减少了因经济、地区因素导致的教育机会不均问题。</w:t>
        <w:br/>
        <w:t xml:space="preserve">  指标2：义务教育巩固率，指标值：≥98%，年中监控完成值：95%，自评完成值：95%，指标完成率 96.93%，偏差-1.07%，偏差原因及改进措施：受流动儿童影响。 随迁子女可能在流入地入学，但户籍地仍将其计入适龄人口，导致流出地巩固率被高估，指标成效分析义务教育巩固率是衡量义务教育阶段学生完成学业情况的重要指标，适龄儿童入学标志着九年义务教育儿童入学情况完成。</w:t>
        <w:br/>
        <w:t xml:space="preserve">   指标3：适龄残疾儿童义务教育入学率，指标值：≥98%，年中监控完成值：98%，自评完成值：100%，指标完成率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 xml:space="preserve">  指标4：办学条件达标率率，指标值：=100%，年中监控完成值：100%，自评完成值：100%，指标完成率 100%，偏差0%，偏差原因及改进措施：无，指标成效分析我校硬件设施大幅改善，办学条件达标率整体提升明显，确保所有学生享受公平优质教育。</w:t>
        <w:br/>
        <w:t xml:space="preserve">  指标5：青年教师考核培养覆盖率，指标值：=100%，年中监控完成值：100%，自评完成值：100%，指标完成率 100%，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xml:space="preserve">  指标6：教师培训合格率，指标值：≥99%，年中监控完成值：99%，自评完成值：100%，指标完成率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2024年度部门整体支出绩效评价综合得分99.29分，评价结果为“优”。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（一）固定资产账务管理不够细致、严谨</w:t>
        <w:br/>
        <w:t>抽查发现，各单位固定资产账务管理普遍存在入账不及时、漏入、入账信息、金额不准确或资产台账未登记到具体使用人等问题。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