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新源工业园区管理委员会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根据新党办《2022》（54号），本单位主要职能有：</w:t>
        <w:br/>
        <w:t>1.贯彻执行国家法律法规和上级政府的决策部署。</w:t>
        <w:br/>
        <w:t>2.负责组织编制和实施园区总体规划，经济发展规划及其他专项规划，提出园区功能定位、发展方向、布局优化调整建议。</w:t>
        <w:br/>
        <w:t>3.创新管理模式和运行机制，完善制度体系，提高管理效能。探索建立“企业吹哨、部门报到”工作机制，推进审批服务限时办结，创新便民利企举措，为市场主体提供服务。</w:t>
        <w:br/>
        <w:t>4.行使自治区、自治州、县委、县人民政府依照法定程序赋予园区的经济管理和审批权限，优化审批流程、提高服务效率、优化营商环境。</w:t>
        <w:br/>
        <w:t>5.负责园区招商引资、进出口贸易、国内外经济技术合作，强化经济管理和投资服务，协调落实城乡统筹政策、产业扶持政策等入驻企业的优惠政策工作，负责入驻企业的协调服务工作。</w:t>
        <w:br/>
        <w:t>6.负责园区项目的策划、包装，统筹协调相关项目、资金进入园区，参与项目申报、实施和检查验收工作;对固定资产投资项目进行审核或审批。</w:t>
        <w:br/>
        <w:t>7.组织实施园区基础设施、服务设施等配套设施建设和管理;负责园区应急管理和安全生产工作。</w:t>
        <w:br/>
        <w:t>8.负责园区财政预决算、投资融资、国有资产管理、政府采购、财政监督工作。</w:t>
        <w:br/>
        <w:t>9.创新园区用人机制，探索岗位聘用制度，强化分配激励，实现业绩与薪酬匹配。</w:t>
        <w:br/>
        <w:t>10.建立完善科技创新转化和产学研用协同机制，提升园区创新能力，加强成果转化。</w:t>
        <w:br/>
        <w:t>11.探索园区建设、招商、运营、管理和服务的市场化模式逐步实行企业化管理。</w:t>
        <w:br/>
        <w:t>12.负责与上级相关部门、政府部门及税务、金融、检验检疫等驻地单位的沟通联系协调。</w:t>
        <w:br/>
        <w:t>13.组织应对各等级突发公共事件的宣传、教育、预防、落实等具体工作。</w:t>
        <w:br/>
        <w:t>14承办县人民政府交办的其他事项。</w:t>
        <w:br/>
        <w:t>2.机构设置及人员情况</w:t>
        <w:br/>
        <w:t>新源工业园区管理委员会部门包括本级机关及0个直属事业单位，内设科室为5个,分别为党政办公室(党建办公室)、经济贸易发展局、招商局、建设局、应急管理局。</w:t>
        <w:br/>
        <w:t>新源工业园区管理委员会2024年人员编制数22人，实有人数19人，其中在职人数：19人，增加2人，离休人员0人，退休人员0人。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目标1：促进工业经济增长，让“强”的实力更加厚实，全力以赴稳存量，千方百计拓增量，提档升级强质量；</w:t>
        <w:br/>
        <w:t>目标2：拼抢招商引资成效，让“进”的动能不断增强，紧盯重点，优化营商环境；</w:t>
        <w:br/>
        <w:t>目标3：加快基础设施建设，让“载”的能力持续提升；目标4：瞄准难点，理顺体制机制。</w:t>
        <w:br/>
        <w:t>2.重点工作计划</w:t>
        <w:br/>
        <w:t>一是聚力重点产业，进一步壮大工业经济。力争钢铁产业产量实现历史突破，产业产值达到62亿元；力争硅基新材料和新能源产业产值突破75亿元。</w:t>
        <w:br/>
        <w:t>二是定位产业集群，开展强链补链延链招商。争取跟踪项目早签约，投产项目早达效，紧盯产业重点龙头企业，着力引进头部企业为新源经济赋能。</w:t>
        <w:br/>
        <w:t>三是推进园区建设，积蓄高质量发展新动能。重点跟踪新型建材产业园续建、固废综合利用基地配套基础设施建设、金属表面处理（电镀）行业聚集区配套基础设施等3个专债项目，继续组织申报建设用地报批工作，计划申报A区二号街以南成片开发方案建设用地11.15公顷，申报伊钢东片区成片开发方案建设用地107.4公顷。</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工业园区管理委员会单位年初预算安排2914.28万元，其中财政拨款2910.49万元，其他资金3.79万元，主要用于基本支出295.06万元，其中：人员类支出282.41万元（工资福利支出277.27万元、对个人和家庭的补助5.14万元），公用经费12.65万元；项目支出3319.22万元，其中：商品服务支出3.79万元，晶科电价补贴2000万元，兴业街绿化工程建设项目48.6万元，新源县工业园区AB区污水处理厂全程托管运营566.83万元。</w:t>
        <w:br/>
        <w:t>上年结余700万元，其中：新源县循环科技产业园项目（二期）200万元，新源县工业园区污水处理厂提标改造及中水回用建设项目500万元。</w:t>
        <w:br/>
        <w:t>年中调整6972.42万元，调整后全年预算10586.7万元，预算调整率192.91%，调整预算的主要原因：本年度有人员调动，基本支出增加28.86万元（人员类支出24.36万元，公用经费4.5万元），同时，本年度在开展业务工作中，临时新增建设项目和招商引资项目预算拨款6972.42万元，其中：新增专项债园区建设项目4500万元，园区招商引资项目储备用地征迁1980万元，园区基础设施建设及项目实施前期费463.56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323.92万元，包括工资福利支出306.69万元(其中：在职19人的工资227.56万元、养老32.01万元、医疗支出16.01万元、其他社会保障缴费5.82万元、住房公积金支出25.29万元），商品和服务支出17.15万元(其中：办公费2.23万元、邮电费0.46万元、物业管理费6.25万元、差旅费10.03万元、培训费0.48万元、公务接待费1.72万元、劳务费0.3万元、工会经费0.92万元、公务用车2辆的用车费及维护费1.84万元），对个人和家庭的补助0.08万元（生活补助0.08万元）其中：“三公”经费支出3.56万元，比上年减少0.23万元，主要原因是单位因财政资金紧张，预算单位又不能按时做支出业务，年底还有部分车辆运营维护费用及公务接待费没有支付；会议费支出0万元，比上年增加（减少）0万元，主要原因是今年没有举办大型会议；培训费支出0.48万元，比上年增加0.39万元，主要原因是为单位人员外出参加业务培训费用，2024年单位人员参加区、州、县等各级培训都是由非财政援疆资金经费支出，没有财政预算资金支付。</w:t>
        <w:br/>
        <w:t>2.专项资金支出情况</w:t>
        <w:br/>
        <w:t>2024年专项项目支出10262.78万元，占总支出的96.94％，主要用于1.晶科电价补贴项目2000万元（对企业补助的费用补贴），2.2024年招商引资费用（对口援建经费）7.84万元（咨询费），3.新源工业园区专债项目配套费（项目前期测绘、可研费）38.11万元，4.化解暂付款支出（兴业街绿化项目）48.6万元（基础设施建设），5.园区建设奖励资金（2024年自有资金）131.28万元（基础设施建设），6.2023年专项债券项目地方配套资金（新型建材产业园）47.24万元（基础设施建设），7.新源县智能制造产业园基础设施建设项目等三个项目配套资金243.73万元（基础设施建设），8.新源县工业园区AB区污水处理厂全程托管运营服务项目504.28万元（委托业务费），9.2024年专项债券项目配套资金（草地植被恢复费）6万元（咨询费），10.园区新型建材产业园建设项目占用林地补偿资金17.81万元（咨询费6.5万元、土地补偿11.31万元），11.2024年专项债券项目可研咨询费20.1万元（咨询费），12.2024年专项债项目地方配套资金1980.18万元（土地补偿费）。13.源县智能制造产业园项目县级配套（水土保持费）12.34万元（基础设施建设），14.2022年专项债券项目水土保持补偿费(飞地园区项目)4.74万元（基础设施建设），15.新疆伊犁州新源县新型建材产业园配套基础设施建设项目5200万元（基础设施建设）。</w:t>
        <w:br/>
        <w:t>3.部门单位专项组织实施情况</w:t>
        <w:br/>
        <w:t>年初我单位下发的晶科电价补贴专项、新源工业园区专债项目配套费专项、兴业街绿化项目专项、新源县工业园区AB区污水处理厂全程托管运营服务项目专项、2024年专项债项目地方配套项目储备用地专项、新疆伊犁州新源县新型建材产业园配套基础设施建设项目基础设施建设专项等工作计划，对项目的工作分工、任务分配、资金落实、完成时限等提出了明确、具体的要求，以确保项目保质、保量、按时完成。截至12月31日，完成专项12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工业园区管理委员会专项资金管理办法》《新源工业园区管理委员会单位经济合同管理办法》专项资金管理办法，各项资金使用审批流程均按规定办理。涉及“三重一大”内容，严格按照规定提请局党组会审议决定，包括项目资金分配、重大项目确定、大额资金支付等。</w:t>
        <w:br/>
        <w:t>（2）制定了晶科电价补贴项目、新源工业园区专债项目配套费（项目前期测绘、可研费）、化解暂付款支出（兴业街绿化项目）、园区建设奖励资金（2024年自有资金）、2023年专项债券项目地方配套资金（新型建材产业园）、新源县智能制造产业园基础设施建设项目等三个项目配套资金、新源县工业园区AB区污水处理厂全程托管运营服务项目、2024年专项债券项目配套资金（草地植被恢复费）、园区新型建材产业园建设项目占用林地补偿资金、2024年专项债券项目可研咨询费、2024年专项债项目地方配套资金1980.18万元、新源县智能制造产业园项目县级配套（水土保持费）、2022年专项债券项目水土保持补偿费、新疆伊犁州新源县新型建材产业园配套基础设施建设项目实施方案，确保项目顺利实施，提升和改善园区基础设施环境，为当地企业带来良好的营商环境，提升产业结构格局，保证优惠政策落实到企业，助力企业良性发展。</w:t>
        <w:br/>
        <w:t>（3）认真组织新源工业园区专债项目配套费（项目前期测绘、可研费）、化解暂付款支出（兴业街绿化项目）、2023年专项债券项目地方配套资金（新型建材产业园）、新源县智能制造产业园基础设施建设项目等三个项目配套资金、新源县工业园区AB区污水处理厂全程托管运营服务项目、2024年专项债券项目配套资金（草地植被恢复费）、园区新型建材产业园建设项目占用林地补偿资金、2024年专项债券项目可研咨询费、2024年专项债项目地方配套资金1980.18万元、新疆伊犁州新源县新型建材产业园配套基础设施建设等项目验收，确保项目严格按照合同约定、需求标准执行，项目成果通过相关合规性审查，对项目交付成果的完整性、功能性及服务质量高度认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2024年新源工业园区管理委员会总支出10586.7万元，预算执行率100%，其中：招商引资2007.84万元；2事业运行250.61万元；其他商贸事务支出217.99万元；科技成果转化与扩散	290.97万元；机关事业单位基本养老保险缴费支出32.01万元；事业单位医疗16.01万元；水体504.82万元；固体废弃物与化学品6万元；草原生态修复治理17.81万元；能源节约利用20.1万元；征地和拆迁补偿支出1980.18万元；水土保持17.08万元；住房公积金25.29万元；其他地方自行试点项目收益专项债券收入安排的支出5200万元。</w:t>
        <w:br/>
        <w:t>1.基本支出使用情况</w:t>
        <w:br/>
        <w:t>2024年，新源工业园区管理委员会基本支出323.92万元，占总支出的3.1％，其中：事业运行250.61万元；机关事业单位基本养老保险缴费支出32.01万元；事业单位医疗16.01万元；住房公积金25.29万元。</w:t>
        <w:br/>
        <w:t>2.项目支出使用情况</w:t>
        <w:br/>
        <w:t>2024年，新源工业园区管理委员会项目支出10262.78万元，占总支出的99.97％。其中：招商引资2007.84万元；其他商贸事务支出217.99万元；科技成果转化与扩散290.97万元；事业单位医疗16.01万元；固体废弃物与化学品6万元；草原生态修复治理17.81万元；能源节约利用20.1万元；征地和拆迁补偿支出1980.18万元水土保持17.08万元；其他地方自行试点项目收益专项债券收入安排的支出5200万元。</w:t>
        <w:br/>
        <w:t>（二）部门单位整体支出绩效指标完成情况</w:t>
        <w:br/>
        <w:t>年初我单位设置部门整体绩效目标中包括一级指标1	个履职效能，二级指标1个，三级指标5个，指标完成情况分析如下：</w:t>
        <w:br/>
        <w:t>1.履职效能</w:t>
        <w:br/>
        <w:t>（1）数量指标</w:t>
        <w:br/>
        <w:t>指标1：实现规模以上工业增加值，指标值：等于29.25亿元 ，年中监控完成值：7.5亿元，自评完成值： 16.4亿元 ，指标完成率 56.07 %，偏差43.93%，偏差原因及改进措施：2024年受市场因素影响，整个大环境不理想，工业经济整体下滑，经济结构不尽合理，产业集群化发展程度不高，传统产业转型升级任务重、新兴产业尚未形成有效支撑，抵御市场冲击能力有待提高，“一产不优、二产不强、三产不精”问题依然突出，造成工业增加值较小，成效分析:一年来，我们聚力促集群强链条，产业体系日趋完善。坚持把培育壮大优势产业摆在突出位置，聚焦“132”六大产业体系建设目标，“向内挖潜”与“向外招引”双向发力，积极应对主导产业下行压力，坚决稳住工业经济基本盘，实现地区生产总值143.57亿元、增长5%左右；规模以上工业增加值16.4亿元、下降12.3%。</w:t>
        <w:br/>
        <w:t>指标2：完成招商引资到位资金，指标值： 等于65亿元 ，年中监控完成值：35.12亿元，自评完成值： 147.01万元 ，指标完成率 100  %,偏差0%，指标成效分析：一年来，我们聚力优环境强招引，提升营商环境十大行动落实落细，通过开展招商引资“1+5”工作机制，营商环境见行见效，累计实施招商引资项目99个，总投资257.54亿元，到位资金147.01亿元、增长22.59%，达到预期目标。</w:t>
        <w:br/>
        <w:t>指标3： 持续开展续建、新建项目个数 ，指标值：等于5个，年中监控完成值：3个，自评完成值： 5个   ，指标完成率 100  %,偏差0%，指标成效分析：通过不断完善基础设施，提升承载力，年内实施园区基础设施续建新建项目4个，完成投资2.2亿元。污水处理厂提标改造项目投入使用，高新技术产业园标准化厂房竣工交付，积极争取援疆资金500万元，实现食品产业园入驻企业集中供暖，新修路段路灯覆盖率进一步提升，企业投资、发展环境更加舒适便捷。积极为招商企业及新项目开展服务，投资20万元为三水源等8家企业改善自来水，新建二号街自来水管网800米；投资300万元为丰泰等8家企业迁入电网，为企业生产服务提供保障。</w:t>
        <w:br/>
        <w:t>指标4：新培育“企升规”企业个数，指标值： 6家，年中监控完成值：6家，自评完成值：6家，指标完成率100 %,偏差0%，指标成效分析：通过经济结构调整优化，加强培育规上企业后备力量，建立培育库，八钢矿业、苏丰亚麻、恒邦商砼等6家企业成功升规入统，园区承载能力显著提升。</w:t>
        <w:br/>
        <w:t>指标5： 全年招商活动场次 ，指标值：大于等于12次，年中监控完成值：7次，自评完成值：15次，指标完成率100 %,偏差0%，指标成效分析：通过主动参与赴京津冀、珠三角、川渝等重点区域推介洽谈15批次，拜访企业76家次，推动湖南驰兴钢铁循环产业园、厚康木业高端家具板材等14个项目落地建设。动员组织三个驻外分局拜访企业559家次，对接商协会及社会组织50余家次。积极参加“中哈商品展销会”、港澳·投资新疆经贸文化交流活动、亚欧博览会9场次，邀请客商实地考察97批次，跟踪洽谈项目73个，成功签订协议38个。使招商引资持续推进。</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我部门/单位部分绩效指标设置存在不够精简、指标数据无法统计和指标值设置过低等问题，部分项目绩效指标值设定为定性的指标，指标设置的科学性、合理性有待进一步提高。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项目实施过程中的上报、跟踪、反馈机制尚未真正形成，项目资金的使用、实施等监管措施仍然存在改进的空间。</w:t>
        <w:br/>
        <w:t>单位日常运转的刚性支出，现有的部门预算资金已不能满足日益增长的工作需要</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