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cs="宋体" w:asciiTheme="minorEastAsia" w:hAnsiTheme="minorEastAsia" w:eastAsiaTheme="minorEastAsia"/>
          <w:kern w:val="0"/>
          <w:sz w:val="32"/>
          <w:szCs w:val="32"/>
        </w:rPr>
      </w:pPr>
      <w:bookmarkStart w:id="0" w:name="_GoBack"/>
      <w:bookmarkEnd w:id="0"/>
      <w:r>
        <w:rPr>
          <w:rFonts w:hint="eastAsia" w:cs="宋体" w:asciiTheme="minorEastAsia" w:hAnsiTheme="minorEastAsia" w:eastAsiaTheme="minorEastAsia"/>
          <w:kern w:val="0"/>
          <w:sz w:val="32"/>
          <w:szCs w:val="32"/>
        </w:rPr>
        <w:t>附件：</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简体" w:hAnsi="华文中宋" w:eastAsia="方正小标宋简体" w:cs="宋体"/>
          <w:b/>
          <w:kern w:val="0"/>
          <w:sz w:val="52"/>
          <w:szCs w:val="52"/>
        </w:rPr>
      </w:pPr>
    </w:p>
    <w:p>
      <w:pPr>
        <w:spacing w:line="540" w:lineRule="exact"/>
        <w:jc w:val="center"/>
        <w:rPr>
          <w:rFonts w:ascii="方正小标宋简体" w:hAnsi="华文中宋" w:eastAsia="方正小标宋简体" w:cs="宋体"/>
          <w:b/>
          <w:kern w:val="0"/>
          <w:sz w:val="48"/>
          <w:szCs w:val="48"/>
        </w:rPr>
      </w:pPr>
      <w:r>
        <w:rPr>
          <w:rFonts w:hint="eastAsia" w:ascii="方正小标宋简体" w:hAnsi="华文中宋" w:eastAsia="方正小标宋简体" w:cs="宋体"/>
          <w:b/>
          <w:kern w:val="0"/>
          <w:sz w:val="48"/>
          <w:szCs w:val="48"/>
          <w:lang w:eastAsia="zh-CN"/>
        </w:rPr>
        <w:t>新源县</w:t>
      </w:r>
      <w:r>
        <w:rPr>
          <w:rFonts w:hint="eastAsia" w:ascii="方正小标宋简体" w:hAnsi="华文中宋" w:eastAsia="方正小标宋简体" w:cs="宋体"/>
          <w:b/>
          <w:kern w:val="0"/>
          <w:sz w:val="48"/>
          <w:szCs w:val="48"/>
        </w:rPr>
        <w:t>社会保险支出</w:t>
      </w:r>
    </w:p>
    <w:p>
      <w:pPr>
        <w:spacing w:line="540" w:lineRule="exact"/>
        <w:jc w:val="center"/>
        <w:rPr>
          <w:rFonts w:ascii="方正小标宋简体" w:hAnsi="华文中宋" w:eastAsia="方正小标宋简体" w:cs="宋体"/>
          <w:b/>
          <w:kern w:val="0"/>
          <w:sz w:val="48"/>
          <w:szCs w:val="48"/>
        </w:rPr>
      </w:pPr>
      <w:r>
        <w:rPr>
          <w:rFonts w:hint="eastAsia" w:ascii="方正小标宋简体" w:hAnsi="华文中宋" w:eastAsia="方正小标宋简体" w:cs="宋体"/>
          <w:b/>
          <w:kern w:val="0"/>
          <w:sz w:val="48"/>
          <w:szCs w:val="48"/>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hAnsi="宋体" w:eastAsia="仿宋_GB2312" w:cs="宋体"/>
          <w:kern w:val="0"/>
          <w:sz w:val="30"/>
          <w:szCs w:val="30"/>
          <w:lang w:eastAsia="zh-CN"/>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新源县社会保险支出</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新源县社会保险管理局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负责人（签章）：</w:t>
      </w:r>
      <w:r>
        <w:rPr>
          <w:rFonts w:hint="eastAsia" w:hAnsi="宋体" w:eastAsia="仿宋_GB2312" w:cs="宋体"/>
          <w:kern w:val="0"/>
          <w:sz w:val="36"/>
          <w:szCs w:val="36"/>
          <w:lang w:eastAsia="zh-CN"/>
        </w:rPr>
        <w:t>高庆屹</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hint="eastAsia"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一、社会保险基金收支余总体情况</w:t>
      </w:r>
    </w:p>
    <w:p>
      <w:pPr>
        <w:spacing w:line="540" w:lineRule="exact"/>
        <w:ind w:firstLine="567"/>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（一）社会保险基金总体情况</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2021年，新源县企业养老保险、失业保险及工伤保险均实现自治区统收统支，参与县级财政决算的只有机关事业单位养老保险及城乡居民养老保险两项社会保险基金。2021年，此两项社会保险基金收入总额为</w:t>
      </w:r>
      <w:r>
        <w:rPr>
          <w:rFonts w:hint="eastAsia" w:ascii="仿宋_GB2312" w:hAnsi="仿宋_GB2312" w:eastAsia="仿宋_GB2312" w:cs="仿宋_GB2312"/>
          <w:color w:val="auto"/>
          <w:sz w:val="32"/>
          <w:szCs w:val="32"/>
          <w:lang w:val="en-US" w:eastAsia="zh-CN"/>
        </w:rPr>
        <w:t>39892万元，基金支出总额为35946万元，各项保险基金年末滚存结余22730万元。其中</w:t>
      </w:r>
      <w:r>
        <w:rPr>
          <w:rFonts w:hint="eastAsia" w:ascii="仿宋_GB2312" w:hAnsi="仿宋_GB2312" w:eastAsia="仿宋_GB2312" w:cs="仿宋_GB2312"/>
          <w:sz w:val="32"/>
          <w:szCs w:val="32"/>
          <w:lang w:val="en-US" w:eastAsia="zh-CN"/>
        </w:rPr>
        <w:t>机关事业单位养老保险当年基金收入32364万元，基金支出31878万元，年末累计结余606万元。城乡居民养老保险当年基金收入7555万元，基金支出4068万元，年末累计结余22124万元。</w:t>
      </w:r>
    </w:p>
    <w:p>
      <w:pPr>
        <w:spacing w:line="540" w:lineRule="exact"/>
        <w:ind w:firstLine="567"/>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（二）社会保险基金支出预算</w:t>
      </w:r>
      <w:r>
        <w:rPr>
          <w:rStyle w:val="19"/>
          <w:rFonts w:ascii="楷体_GB2312" w:hAnsi="楷体" w:eastAsia="楷体_GB2312"/>
          <w:spacing w:val="-4"/>
          <w:sz w:val="32"/>
          <w:szCs w:val="32"/>
        </w:rPr>
        <w:t>绩效目标</w:t>
      </w:r>
      <w:r>
        <w:rPr>
          <w:rStyle w:val="19"/>
          <w:rFonts w:hint="eastAsia" w:ascii="楷体_GB2312" w:hAnsi="楷体" w:eastAsia="楷体_GB2312"/>
          <w:spacing w:val="-4"/>
          <w:sz w:val="32"/>
          <w:szCs w:val="32"/>
        </w:rPr>
        <w:t>设定情况</w:t>
      </w:r>
    </w:p>
    <w:p>
      <w:pPr>
        <w:numPr>
          <w:ilvl w:val="0"/>
          <w:numId w:val="1"/>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事业单位养老保险基金支出的预算目标31198万元，保障我县机关事业单位退休人员能够按月足额领取养老金，项目用途用于支付我县机关事业单位退休人员的养老金，主要内容为基本养老金支出，涉及我县机关事业单位退休的全部退休人员共4849人 ；</w:t>
      </w:r>
    </w:p>
    <w:p>
      <w:pPr>
        <w:numPr>
          <w:ilvl w:val="0"/>
          <w:numId w:val="1"/>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城乡居民养老保险基金支出的预算目标3929万元，保障我县60岁以上城乡居民养老保险参保人员能够按月足额领取养老金，死亡人员能够按照政策享受丧葬补助金，项目用途用于支付我县城乡居民养老领取待遇人员的养老金支出，死亡人员的丧葬补助金支出以及个人账户退费及转移支出 ，年末我县共有城乡养老保险领取待遇人员19674人，享受丧葬补助金人数637人 ；</w:t>
      </w:r>
    </w:p>
    <w:p>
      <w:pPr>
        <w:spacing w:line="540" w:lineRule="exact"/>
        <w:ind w:firstLine="640"/>
        <w:rPr>
          <w:rStyle w:val="19"/>
          <w:rFonts w:hint="default" w:ascii="黑体" w:hAnsi="黑体" w:eastAsia="黑体"/>
          <w:b w:val="0"/>
          <w:spacing w:val="-4"/>
          <w:sz w:val="32"/>
          <w:szCs w:val="32"/>
          <w:lang w:val="en-US" w:eastAsia="zh-CN"/>
        </w:rPr>
      </w:pPr>
      <w:r>
        <w:rPr>
          <w:rStyle w:val="19"/>
          <w:rFonts w:hint="eastAsia" w:ascii="黑体" w:hAnsi="黑体" w:eastAsia="黑体"/>
          <w:b w:val="0"/>
          <w:spacing w:val="-4"/>
          <w:sz w:val="32"/>
          <w:szCs w:val="32"/>
        </w:rPr>
        <w:t>二、各项</w:t>
      </w:r>
      <w:r>
        <w:rPr>
          <w:rStyle w:val="19"/>
          <w:rFonts w:hint="eastAsia" w:ascii="黑体" w:hAnsi="楷体" w:eastAsia="黑体"/>
          <w:b w:val="0"/>
          <w:spacing w:val="-4"/>
          <w:sz w:val="32"/>
          <w:szCs w:val="32"/>
        </w:rPr>
        <w:t>社会保险</w:t>
      </w:r>
      <w:r>
        <w:rPr>
          <w:rStyle w:val="19"/>
          <w:rFonts w:hint="eastAsia" w:ascii="黑体" w:hAnsi="黑体" w:eastAsia="黑体"/>
          <w:b w:val="0"/>
          <w:spacing w:val="-4"/>
          <w:sz w:val="32"/>
          <w:szCs w:val="32"/>
        </w:rPr>
        <w:t>基金预算完成及运行情况</w:t>
      </w:r>
    </w:p>
    <w:p>
      <w:pPr>
        <w:spacing w:line="540" w:lineRule="exact"/>
        <w:ind w:firstLine="567"/>
        <w:rPr>
          <w:rFonts w:hint="default" w:ascii="仿宋_GB2312" w:hAnsi="仿宋_GB2312" w:eastAsia="仿宋_GB2312" w:cs="仿宋_GB2312"/>
          <w:sz w:val="32"/>
          <w:szCs w:val="32"/>
          <w:lang w:val="en-US" w:eastAsia="zh-CN"/>
        </w:rPr>
      </w:pPr>
      <w:r>
        <w:rPr>
          <w:rStyle w:val="19"/>
          <w:rFonts w:hint="eastAsia" w:ascii="楷体_GB2312" w:hAnsi="楷体" w:eastAsia="楷体_GB2312"/>
          <w:spacing w:val="-4"/>
          <w:sz w:val="32"/>
          <w:szCs w:val="32"/>
        </w:rPr>
        <w:t>（一）机关事业单位养老保险基金预算完成及运行情况分析</w:t>
      </w:r>
      <w:r>
        <w:rPr>
          <w:rStyle w:val="19"/>
          <w:rFonts w:hint="eastAsia" w:ascii="楷体_GB2312" w:hAnsi="楷体" w:eastAsia="楷体_GB2312"/>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2021年我县机关事业单位养老保险基金支出实际完成31878万元，相比预算数31198万元，完成率为102.18%，比上年同期增加3481万元，同比增长12.26%。增长原因主要为机关事业单位退休人员增加，养老金标准增加。</w:t>
      </w:r>
    </w:p>
    <w:p>
      <w:pPr>
        <w:spacing w:line="540" w:lineRule="exact"/>
        <w:ind w:firstLine="567"/>
        <w:rPr>
          <w:rFonts w:hint="eastAsia" w:ascii="仿宋_GB2312" w:hAnsi="仿宋_GB2312" w:eastAsia="仿宋_GB2312" w:cs="仿宋_GB2312"/>
          <w:b w:val="0"/>
          <w:bCs w:val="0"/>
          <w:color w:val="auto"/>
          <w:sz w:val="32"/>
          <w:szCs w:val="32"/>
          <w:lang w:val="en-US" w:eastAsia="zh-CN"/>
        </w:rPr>
      </w:pPr>
      <w:r>
        <w:rPr>
          <w:rStyle w:val="19"/>
          <w:rFonts w:hint="eastAsia" w:ascii="楷体_GB2312" w:hAnsi="楷体" w:eastAsia="楷体_GB2312"/>
          <w:spacing w:val="-4"/>
          <w:sz w:val="32"/>
          <w:szCs w:val="32"/>
        </w:rPr>
        <w:t>（</w:t>
      </w:r>
      <w:r>
        <w:rPr>
          <w:rStyle w:val="19"/>
          <w:rFonts w:hint="eastAsia" w:ascii="楷体_GB2312" w:hAnsi="楷体" w:eastAsia="楷体_GB2312"/>
          <w:spacing w:val="-4"/>
          <w:sz w:val="32"/>
          <w:szCs w:val="32"/>
          <w:lang w:eastAsia="zh-CN"/>
        </w:rPr>
        <w:t>二</w:t>
      </w:r>
      <w:r>
        <w:rPr>
          <w:rStyle w:val="19"/>
          <w:rFonts w:hint="eastAsia" w:ascii="楷体_GB2312" w:hAnsi="楷体" w:eastAsia="楷体_GB2312"/>
          <w:spacing w:val="-4"/>
          <w:sz w:val="32"/>
          <w:szCs w:val="32"/>
        </w:rPr>
        <w:t>）</w:t>
      </w:r>
      <w:r>
        <w:rPr>
          <w:rStyle w:val="19"/>
          <w:rFonts w:hint="eastAsia" w:ascii="楷体_GB2312" w:hAnsi="楷体" w:eastAsia="楷体_GB2312"/>
          <w:spacing w:val="-4"/>
          <w:sz w:val="32"/>
          <w:szCs w:val="32"/>
          <w:lang w:eastAsia="zh-CN"/>
        </w:rPr>
        <w:t>城乡居民</w:t>
      </w:r>
      <w:r>
        <w:rPr>
          <w:rStyle w:val="19"/>
          <w:rFonts w:hint="eastAsia" w:ascii="楷体_GB2312" w:hAnsi="楷体" w:eastAsia="楷体_GB2312"/>
          <w:spacing w:val="-4"/>
          <w:sz w:val="32"/>
          <w:szCs w:val="32"/>
        </w:rPr>
        <w:t>养老保险基金预算完成及运行情况分析</w:t>
      </w:r>
      <w:r>
        <w:rPr>
          <w:rStyle w:val="19"/>
          <w:rFonts w:hint="eastAsia" w:ascii="楷体_GB2312" w:hAnsi="楷体" w:eastAsia="楷体_GB2312"/>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2021年我县城乡居民养老保险基金支出实际完成4068万元，相比预算数3929万元，完成率为103.54%，比上年同期增加511万元，同比增长14.37%。增长原因主要为到龄人员增加，基础养老金调标。</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三、各项社会保险</w:t>
      </w:r>
      <w:r>
        <w:rPr>
          <w:rStyle w:val="19"/>
          <w:rFonts w:hint="eastAsia" w:ascii="黑体" w:hAnsi="黑体" w:eastAsia="黑体"/>
          <w:b w:val="0"/>
          <w:bCs w:val="0"/>
          <w:spacing w:val="-4"/>
          <w:sz w:val="32"/>
          <w:szCs w:val="32"/>
        </w:rPr>
        <w:t>基金支出</w:t>
      </w:r>
      <w:r>
        <w:rPr>
          <w:rStyle w:val="19"/>
          <w:rFonts w:hint="eastAsia" w:ascii="黑体" w:hAnsi="黑体" w:eastAsia="黑体"/>
          <w:b w:val="0"/>
          <w:spacing w:val="-4"/>
          <w:sz w:val="32"/>
          <w:szCs w:val="32"/>
        </w:rPr>
        <w:t>组织实施情况和</w:t>
      </w:r>
      <w:r>
        <w:rPr>
          <w:rStyle w:val="19"/>
          <w:rFonts w:hint="eastAsia" w:ascii="黑体" w:hAnsi="黑体" w:eastAsia="黑体"/>
          <w:b w:val="0"/>
          <w:bCs w:val="0"/>
          <w:spacing w:val="-4"/>
          <w:sz w:val="32"/>
          <w:szCs w:val="32"/>
        </w:rPr>
        <w:t>绩效管理情况</w:t>
      </w:r>
    </w:p>
    <w:p>
      <w:pPr>
        <w:spacing w:line="540" w:lineRule="exact"/>
        <w:ind w:firstLine="567"/>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（一）社会保险管理情况分析</w:t>
      </w:r>
    </w:p>
    <w:p>
      <w:pPr>
        <w:numPr>
          <w:ilvl w:val="0"/>
          <w:numId w:val="0"/>
        </w:numPr>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为保证社会保险基金的正常运行，2021年我县严格执行社会保险基金管理制度，扩大征收面，严格执行相关文件政策，做好基金运行分析，做到各项保险应收尽收，收支平衡，尽力缩小收支缺口。同时也制定了一系列单位内控体制，加强基金管理力度，确保社会保险基金安全。</w:t>
      </w:r>
    </w:p>
    <w:p>
      <w:pPr>
        <w:spacing w:line="540" w:lineRule="exact"/>
        <w:ind w:firstLine="567"/>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（二）绩效目标完成情况分析</w:t>
      </w:r>
    </w:p>
    <w:p>
      <w:pPr>
        <w:numPr>
          <w:ilvl w:val="0"/>
          <w:numId w:val="0"/>
        </w:numPr>
        <w:spacing w:line="540" w:lineRule="exact"/>
        <w:ind w:firstLine="624" w:firstLineChars="200"/>
        <w:jc w:val="left"/>
        <w:rPr>
          <w:rStyle w:val="19"/>
          <w:rFonts w:hint="eastAsia" w:ascii="仿宋_GB2312" w:hAnsi="仿宋_GB2312" w:eastAsia="仿宋_GB2312" w:cs="仿宋_GB2312"/>
          <w:b w:val="0"/>
          <w:bCs w:val="0"/>
          <w:spacing w:val="-4"/>
          <w:sz w:val="32"/>
          <w:szCs w:val="32"/>
        </w:rPr>
      </w:pPr>
      <w:r>
        <w:rPr>
          <w:rFonts w:hint="eastAsia" w:ascii="仿宋_GB2312" w:eastAsia="仿宋_GB2312"/>
          <w:spacing w:val="-4"/>
          <w:sz w:val="32"/>
          <w:szCs w:val="32"/>
          <w:lang w:eastAsia="zh-CN"/>
        </w:rPr>
        <w:t>两项养老保险基金支出预算完成</w:t>
      </w:r>
      <w:r>
        <w:rPr>
          <w:rFonts w:hint="eastAsia" w:ascii="仿宋_GB2312" w:eastAsia="仿宋_GB2312"/>
          <w:color w:val="auto"/>
          <w:spacing w:val="-4"/>
          <w:sz w:val="32"/>
          <w:szCs w:val="32"/>
          <w:lang w:eastAsia="zh-CN"/>
        </w:rPr>
        <w:t>率</w:t>
      </w:r>
      <w:r>
        <w:rPr>
          <w:rFonts w:hint="eastAsia" w:ascii="仿宋_GB2312" w:eastAsia="仿宋_GB2312"/>
          <w:color w:val="auto"/>
          <w:spacing w:val="-4"/>
          <w:sz w:val="32"/>
          <w:szCs w:val="32"/>
          <w:lang w:val="en-US" w:eastAsia="zh-CN"/>
        </w:rPr>
        <w:t>102.33%</w:t>
      </w:r>
      <w:r>
        <w:rPr>
          <w:rFonts w:hint="eastAsia" w:ascii="仿宋_GB2312" w:eastAsia="仿宋_GB2312"/>
          <w:spacing w:val="-4"/>
          <w:sz w:val="32"/>
          <w:szCs w:val="32"/>
          <w:lang w:val="en-US" w:eastAsia="zh-CN"/>
        </w:rPr>
        <w:t>，属于正常可控范围。</w:t>
      </w:r>
    </w:p>
    <w:p>
      <w:pPr>
        <w:spacing w:line="540" w:lineRule="exact"/>
        <w:ind w:firstLine="567"/>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w:t>
      </w:r>
      <w:r>
        <w:rPr>
          <w:rStyle w:val="19"/>
          <w:rFonts w:hint="eastAsia" w:ascii="楷体_GB2312" w:hAnsi="楷体" w:eastAsia="楷体_GB2312"/>
          <w:spacing w:val="-4"/>
          <w:sz w:val="32"/>
          <w:szCs w:val="32"/>
          <w:lang w:eastAsia="zh-CN"/>
        </w:rPr>
        <w:t>三</w:t>
      </w:r>
      <w:r>
        <w:rPr>
          <w:rStyle w:val="19"/>
          <w:rFonts w:hint="eastAsia" w:ascii="楷体_GB2312" w:hAnsi="楷体" w:eastAsia="楷体_GB2312"/>
          <w:spacing w:val="-4"/>
          <w:sz w:val="32"/>
          <w:szCs w:val="32"/>
        </w:rPr>
        <w:t>）项目绩效目标未完成原因分析</w:t>
      </w:r>
    </w:p>
    <w:p>
      <w:pPr>
        <w:numPr>
          <w:ilvl w:val="0"/>
          <w:numId w:val="0"/>
        </w:numPr>
        <w:ind w:firstLine="624" w:firstLineChars="200"/>
        <w:rPr>
          <w:rFonts w:hint="eastAsia" w:ascii="仿宋_GB2312" w:eastAsia="仿宋_GB2312"/>
          <w:spacing w:val="-4"/>
          <w:sz w:val="32"/>
          <w:szCs w:val="32"/>
          <w:lang w:eastAsia="zh-CN"/>
        </w:rPr>
      </w:pPr>
      <w:r>
        <w:rPr>
          <w:rFonts w:hint="eastAsia" w:ascii="仿宋_GB2312" w:eastAsia="仿宋_GB2312"/>
          <w:spacing w:val="-4"/>
          <w:sz w:val="32"/>
          <w:szCs w:val="32"/>
          <w:lang w:val="en-US" w:eastAsia="zh-CN"/>
        </w:rPr>
        <w:t>2021年社会保险基金支出绩效目标基本</w:t>
      </w:r>
      <w:r>
        <w:rPr>
          <w:rFonts w:hint="eastAsia" w:ascii="仿宋_GB2312" w:eastAsia="仿宋_GB2312"/>
          <w:spacing w:val="-4"/>
          <w:sz w:val="32"/>
          <w:szCs w:val="32"/>
          <w:lang w:eastAsia="zh-CN"/>
        </w:rPr>
        <w:t>均按预算进度执行完成。</w:t>
      </w:r>
      <w:r>
        <w:rPr>
          <w:rFonts w:hint="eastAsia" w:ascii="仿宋_GB2312" w:eastAsia="仿宋_GB2312"/>
          <w:spacing w:val="-4"/>
          <w:sz w:val="32"/>
          <w:szCs w:val="32"/>
          <w:lang w:val="en-US" w:eastAsia="zh-CN"/>
        </w:rPr>
        <w:t>养老保险基金支出预算执行度相对合理，后续还需加强对退休人员及新录人员的摸底，对城乡居民到龄人员及死亡人员加强申报管理，切实提高预算分析能力。</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四、其他需要说明的问题</w:t>
      </w:r>
    </w:p>
    <w:p>
      <w:pPr>
        <w:spacing w:line="540" w:lineRule="exact"/>
        <w:ind w:firstLine="567" w:firstLineChars="181"/>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（一）后续工作计划</w:t>
      </w:r>
    </w:p>
    <w:p>
      <w:pPr>
        <w:spacing w:line="540" w:lineRule="exact"/>
        <w:ind w:firstLine="506" w:firstLineChars="181"/>
        <w:rPr>
          <w:rFonts w:hint="eastAsia" w:ascii="楷体" w:hAnsi="楷体" w:eastAsia="楷体"/>
          <w:b/>
          <w:spacing w:val="-4"/>
          <w:sz w:val="32"/>
          <w:szCs w:val="32"/>
          <w:lang w:eastAsia="zh-CN"/>
        </w:rPr>
      </w:pPr>
      <w:r>
        <w:rPr>
          <w:rFonts w:hint="eastAsia" w:ascii="仿宋_GB2312" w:hAnsi="仿宋_GB2312" w:eastAsia="仿宋_GB2312" w:cs="仿宋_GB2312"/>
          <w:sz w:val="28"/>
          <w:szCs w:val="28"/>
          <w:lang w:eastAsia="zh-CN"/>
        </w:rPr>
        <w:t>进一步加强基金管理，确保各项社会保险基金的正常运转。</w:t>
      </w:r>
    </w:p>
    <w:p>
      <w:pPr>
        <w:spacing w:line="54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（二）主要经验及做法、存在问题和建议</w:t>
      </w:r>
    </w:p>
    <w:p>
      <w:pPr>
        <w:numPr>
          <w:ilvl w:val="0"/>
          <w:numId w:val="0"/>
        </w:numPr>
        <w:ind w:left="0" w:leftChars="0" w:firstLine="998" w:firstLineChars="320"/>
        <w:rPr>
          <w:rFonts w:hint="eastAsia" w:ascii="仿宋_GB2312" w:eastAsia="仿宋_GB2312"/>
          <w:spacing w:val="-4"/>
          <w:sz w:val="32"/>
          <w:szCs w:val="32"/>
          <w:lang w:eastAsia="zh-CN"/>
        </w:rPr>
      </w:pPr>
      <w:r>
        <w:rPr>
          <w:rFonts w:hint="eastAsia" w:ascii="仿宋_GB2312" w:eastAsia="仿宋_GB2312"/>
          <w:spacing w:val="-4"/>
          <w:sz w:val="32"/>
          <w:szCs w:val="32"/>
          <w:lang w:eastAsia="zh-CN"/>
        </w:rPr>
        <w:t>经过对各项社会保险支出与年初预算及上年同期数据进行对比发现，城乡居民养老险存在退休人员预算和实际发生偏差较大、机关事业单位养老保险缴费、退休人员变动不清楚的情况，分析原因主要是有以下几点原因：</w:t>
      </w:r>
    </w:p>
    <w:p>
      <w:pPr>
        <w:numPr>
          <w:ilvl w:val="0"/>
          <w:numId w:val="2"/>
        </w:numPr>
        <w:ind w:left="0" w:leftChars="0" w:firstLine="998" w:firstLineChars="32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各项社保新政策一般在新一年度发布并开始执行，而预算工作一般在上年度末进行，造成社保基金预算对政策方向的把控不全面。</w:t>
      </w:r>
    </w:p>
    <w:p>
      <w:pPr>
        <w:numPr>
          <w:ilvl w:val="0"/>
          <w:numId w:val="2"/>
        </w:numPr>
        <w:ind w:left="0" w:leftChars="0" w:firstLine="998" w:firstLineChars="320"/>
        <w:rPr>
          <w:rFonts w:hint="eastAsia" w:ascii="仿宋_GB2312" w:hAnsi="仿宋_GB2312" w:eastAsia="仿宋_GB2312" w:cs="仿宋_GB2312"/>
          <w:b w:val="0"/>
          <w:bCs w:val="0"/>
          <w:sz w:val="32"/>
          <w:szCs w:val="32"/>
        </w:rPr>
      </w:pPr>
      <w:r>
        <w:rPr>
          <w:rFonts w:hint="eastAsia" w:ascii="仿宋_GB2312" w:eastAsia="仿宋_GB2312"/>
          <w:spacing w:val="-4"/>
          <w:sz w:val="32"/>
          <w:szCs w:val="32"/>
          <w:lang w:val="en-US" w:eastAsia="zh-CN"/>
        </w:rPr>
        <w:t>从预算编报工作的谨慎性原则出发，过度低估收入，过度高估支出，造成各别险种的预算完成率未达到合理标准。</w:t>
      </w:r>
    </w:p>
    <w:p>
      <w:pPr>
        <w:numPr>
          <w:ilvl w:val="0"/>
          <w:numId w:val="2"/>
        </w:numPr>
        <w:ind w:left="0" w:leftChars="0" w:firstLine="998" w:firstLineChars="320"/>
        <w:rPr>
          <w:rFonts w:hint="eastAsia" w:ascii="仿宋_GB2312" w:hAnsi="仿宋_GB2312" w:eastAsia="仿宋_GB2312" w:cs="仿宋_GB2312"/>
          <w:b w:val="0"/>
          <w:bCs w:val="0"/>
          <w:sz w:val="32"/>
          <w:szCs w:val="32"/>
        </w:rPr>
      </w:pPr>
      <w:r>
        <w:rPr>
          <w:rFonts w:hint="eastAsia" w:ascii="仿宋_GB2312" w:eastAsia="仿宋_GB2312"/>
          <w:spacing w:val="-4"/>
          <w:sz w:val="32"/>
          <w:szCs w:val="32"/>
          <w:lang w:val="en-US" w:eastAsia="zh-CN"/>
        </w:rPr>
        <w:t>对我县参保企业、参保人员情况的掌握还不够全面精准，造成预算出现偏差。</w:t>
      </w:r>
    </w:p>
    <w:p>
      <w:pPr>
        <w:numPr>
          <w:ilvl w:val="0"/>
          <w:numId w:val="0"/>
        </w:numPr>
        <w:ind w:left="0" w:leftChars="0" w:firstLine="998" w:firstLineChars="320"/>
        <w:rPr>
          <w:rFonts w:hint="eastAsia" w:ascii="仿宋_GB2312" w:hAnsi="仿宋_GB2312" w:eastAsia="仿宋_GB2312" w:cs="仿宋_GB2312"/>
          <w:b w:val="0"/>
          <w:bCs w:val="0"/>
          <w:sz w:val="32"/>
          <w:szCs w:val="32"/>
        </w:rPr>
      </w:pPr>
      <w:r>
        <w:rPr>
          <w:rFonts w:hint="eastAsia" w:ascii="仿宋_GB2312" w:eastAsia="仿宋_GB2312"/>
          <w:spacing w:val="-4"/>
          <w:sz w:val="32"/>
          <w:szCs w:val="32"/>
          <w:lang w:val="en-US" w:eastAsia="zh-CN"/>
        </w:rPr>
        <w:t>针对以上存在的问题，结合实际社保基金管理工作制定了相应的改进措施：</w:t>
      </w:r>
      <w:r>
        <w:rPr>
          <w:rFonts w:hint="eastAsia" w:ascii="仿宋_GB2312" w:eastAsia="仿宋_GB2312"/>
          <w:b w:val="0"/>
          <w:bCs w:val="0"/>
          <w:spacing w:val="-4"/>
          <w:sz w:val="32"/>
          <w:szCs w:val="32"/>
          <w:lang w:val="en-US" w:eastAsia="zh-CN"/>
        </w:rPr>
        <w:t>1、</w:t>
      </w:r>
      <w:r>
        <w:rPr>
          <w:rFonts w:hint="eastAsia" w:ascii="仿宋_GB2312" w:hAnsi="仿宋_GB2312" w:eastAsia="仿宋_GB2312" w:cs="仿宋_GB2312"/>
          <w:b w:val="0"/>
          <w:bCs w:val="0"/>
          <w:sz w:val="32"/>
          <w:szCs w:val="32"/>
          <w:lang w:eastAsia="zh-CN"/>
        </w:rPr>
        <w:t>加强</w:t>
      </w:r>
      <w:r>
        <w:rPr>
          <w:rFonts w:hint="eastAsia" w:ascii="仿宋_GB2312" w:hAnsi="仿宋_GB2312" w:eastAsia="仿宋_GB2312" w:cs="仿宋_GB2312"/>
          <w:b w:val="0"/>
          <w:bCs w:val="0"/>
          <w:sz w:val="32"/>
          <w:szCs w:val="32"/>
        </w:rPr>
        <w:t>领导重视，</w:t>
      </w:r>
      <w:r>
        <w:rPr>
          <w:rFonts w:hint="eastAsia" w:ascii="仿宋_GB2312" w:hAnsi="仿宋_GB2312" w:eastAsia="仿宋_GB2312" w:cs="仿宋_GB2312"/>
          <w:b w:val="0"/>
          <w:bCs w:val="0"/>
          <w:sz w:val="32"/>
          <w:szCs w:val="32"/>
          <w:lang w:eastAsia="zh-CN"/>
        </w:rPr>
        <w:t>形成</w:t>
      </w:r>
      <w:r>
        <w:rPr>
          <w:rFonts w:hint="eastAsia" w:ascii="仿宋_GB2312" w:hAnsi="仿宋_GB2312" w:eastAsia="仿宋_GB2312" w:cs="仿宋_GB2312"/>
          <w:b w:val="0"/>
          <w:bCs w:val="0"/>
          <w:sz w:val="32"/>
          <w:szCs w:val="32"/>
        </w:rPr>
        <w:t>高位推动。</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明确</w:t>
      </w:r>
      <w:r>
        <w:rPr>
          <w:rFonts w:hint="eastAsia" w:ascii="仿宋_GB2312" w:hAnsi="仿宋_GB2312" w:eastAsia="仿宋_GB2312" w:cs="仿宋_GB2312"/>
          <w:b w:val="0"/>
          <w:bCs w:val="0"/>
          <w:sz w:val="32"/>
          <w:szCs w:val="32"/>
          <w:lang w:eastAsia="zh-CN"/>
        </w:rPr>
        <w:t>职责</w:t>
      </w:r>
      <w:r>
        <w:rPr>
          <w:rFonts w:hint="eastAsia" w:ascii="仿宋_GB2312" w:hAnsi="仿宋_GB2312" w:eastAsia="仿宋_GB2312" w:cs="仿宋_GB2312"/>
          <w:b w:val="0"/>
          <w:bCs w:val="0"/>
          <w:sz w:val="32"/>
          <w:szCs w:val="32"/>
        </w:rPr>
        <w:t>分工</w:t>
      </w:r>
      <w:r>
        <w:rPr>
          <w:rFonts w:hint="eastAsia" w:ascii="仿宋_GB2312" w:hAnsi="仿宋_GB2312" w:eastAsia="仿宋_GB2312" w:cs="仿宋_GB2312"/>
          <w:b w:val="0"/>
          <w:bCs w:val="0"/>
          <w:sz w:val="32"/>
          <w:szCs w:val="32"/>
          <w:lang w:eastAsia="zh-CN"/>
        </w:rPr>
        <w:t>，提高编报质量</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及时</w:t>
      </w:r>
      <w:r>
        <w:rPr>
          <w:rFonts w:hint="eastAsia" w:ascii="仿宋_GB2312" w:hAnsi="仿宋_GB2312" w:eastAsia="仿宋_GB2312" w:cs="仿宋_GB2312"/>
          <w:b w:val="0"/>
          <w:bCs w:val="0"/>
          <w:sz w:val="32"/>
          <w:szCs w:val="32"/>
          <w:lang w:eastAsia="zh-CN"/>
        </w:rPr>
        <w:t>进行</w:t>
      </w:r>
      <w:r>
        <w:rPr>
          <w:rFonts w:hint="eastAsia" w:ascii="仿宋_GB2312" w:hAnsi="仿宋_GB2312" w:eastAsia="仿宋_GB2312" w:cs="仿宋_GB2312"/>
          <w:b w:val="0"/>
          <w:bCs w:val="0"/>
          <w:sz w:val="32"/>
          <w:szCs w:val="32"/>
        </w:rPr>
        <w:t>整改，加强</w:t>
      </w:r>
      <w:r>
        <w:rPr>
          <w:rFonts w:hint="eastAsia" w:ascii="仿宋_GB2312" w:hAnsi="仿宋_GB2312" w:eastAsia="仿宋_GB2312" w:cs="仿宋_GB2312"/>
          <w:b w:val="0"/>
          <w:bCs w:val="0"/>
          <w:sz w:val="32"/>
          <w:szCs w:val="32"/>
          <w:lang w:eastAsia="zh-CN"/>
        </w:rPr>
        <w:t>管理监督</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4、加强各环节配合及资金监督管理。</w:t>
      </w:r>
    </w:p>
    <w:p>
      <w:pPr>
        <w:numPr>
          <w:ilvl w:val="0"/>
          <w:numId w:val="0"/>
        </w:numPr>
        <w:spacing w:line="540" w:lineRule="exact"/>
        <w:ind w:leftChars="200"/>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lang w:eastAsia="zh-CN"/>
        </w:rPr>
        <w:t>（</w:t>
      </w:r>
      <w:r>
        <w:rPr>
          <w:rStyle w:val="19"/>
          <w:rFonts w:hint="eastAsia" w:ascii="楷体_GB2312" w:hAnsi="楷体" w:eastAsia="楷体_GB2312"/>
          <w:spacing w:val="-4"/>
          <w:sz w:val="32"/>
          <w:szCs w:val="32"/>
          <w:lang w:val="en-US" w:eastAsia="zh-CN"/>
        </w:rPr>
        <w:t>三</w:t>
      </w:r>
      <w:r>
        <w:rPr>
          <w:rStyle w:val="19"/>
          <w:rFonts w:hint="eastAsia" w:ascii="楷体_GB2312" w:hAnsi="楷体" w:eastAsia="楷体_GB2312"/>
          <w:spacing w:val="-4"/>
          <w:sz w:val="32"/>
          <w:szCs w:val="32"/>
          <w:lang w:eastAsia="zh-CN"/>
        </w:rPr>
        <w:t>）</w:t>
      </w:r>
      <w:r>
        <w:rPr>
          <w:rStyle w:val="19"/>
          <w:rFonts w:hint="eastAsia" w:ascii="楷体_GB2312" w:hAnsi="楷体" w:eastAsia="楷体_GB2312"/>
          <w:spacing w:val="-4"/>
          <w:sz w:val="32"/>
          <w:szCs w:val="32"/>
        </w:rPr>
        <w:t>其他</w:t>
      </w:r>
    </w:p>
    <w:p>
      <w:pPr>
        <w:numPr>
          <w:ilvl w:val="0"/>
          <w:numId w:val="0"/>
        </w:numPr>
        <w:ind w:left="0" w:leftChars="0" w:firstLine="998" w:firstLineChars="32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无</w:t>
      </w:r>
    </w:p>
    <w:p>
      <w:pPr>
        <w:numPr>
          <w:ilvl w:val="0"/>
          <w:numId w:val="0"/>
        </w:numPr>
        <w:ind w:firstLine="627" w:firstLineChars="200"/>
        <w:rPr>
          <w:rFonts w:hint="eastAsia" w:ascii="仿宋_GB2312" w:eastAsia="仿宋_GB2312"/>
          <w:b/>
          <w:bCs/>
          <w:spacing w:val="-4"/>
          <w:sz w:val="32"/>
          <w:szCs w:val="32"/>
          <w:lang w:val="en-US" w:eastAsia="zh-CN"/>
        </w:rPr>
      </w:pPr>
      <w:r>
        <w:rPr>
          <w:rFonts w:hint="eastAsia" w:ascii="仿宋_GB2312" w:eastAsia="仿宋_GB2312"/>
          <w:b/>
          <w:bCs/>
          <w:spacing w:val="-4"/>
          <w:sz w:val="32"/>
          <w:szCs w:val="32"/>
          <w:lang w:val="en-US" w:eastAsia="zh-CN"/>
        </w:rPr>
        <w:t>五、附表</w:t>
      </w:r>
    </w:p>
    <w:p>
      <w:pPr>
        <w:numPr>
          <w:ilvl w:val="0"/>
          <w:numId w:val="0"/>
        </w:numPr>
        <w:ind w:leftChars="320"/>
        <w:rPr>
          <w:rFonts w:hint="default" w:ascii="仿宋_GB2312" w:eastAsia="仿宋_GB2312"/>
          <w:spacing w:val="-4"/>
          <w:sz w:val="32"/>
          <w:szCs w:val="32"/>
          <w:lang w:val="en-US" w:eastAsia="zh-CN"/>
        </w:rPr>
      </w:pPr>
      <w:r>
        <w:rPr>
          <w:rFonts w:hint="eastAsia" w:ascii="仿宋_GB2312" w:eastAsia="仿宋_GB2312"/>
          <w:spacing w:val="-4"/>
          <w:sz w:val="32"/>
          <w:szCs w:val="32"/>
          <w:lang w:val="en-US" w:eastAsia="zh-CN"/>
        </w:rPr>
        <w:t>新源县社会保险支出绩效自评表</w:t>
      </w:r>
    </w:p>
    <w:p>
      <w:pPr>
        <w:spacing w:line="540" w:lineRule="exact"/>
        <w:rPr>
          <w:rStyle w:val="19"/>
          <w:rFonts w:ascii="仿宋" w:hAnsi="仿宋" w:eastAsia="仿宋"/>
          <w:b w:val="0"/>
          <w:spacing w:val="-4"/>
          <w:sz w:val="32"/>
          <w:szCs w:val="32"/>
        </w:rPr>
      </w:pPr>
    </w:p>
    <w:sectPr>
      <w:headerReference r:id="rId5" w:type="default"/>
      <w:footerReference r:id="rId6"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33CDE"/>
    <w:multiLevelType w:val="singleLevel"/>
    <w:tmpl w:val="8CB33CDE"/>
    <w:lvl w:ilvl="0" w:tentative="0">
      <w:start w:val="1"/>
      <w:numFmt w:val="decimal"/>
      <w:suff w:val="nothing"/>
      <w:lvlText w:val="%1、"/>
      <w:lvlJc w:val="left"/>
    </w:lvl>
  </w:abstractNum>
  <w:abstractNum w:abstractNumId="1">
    <w:nsid w:val="377518F0"/>
    <w:multiLevelType w:val="singleLevel"/>
    <w:tmpl w:val="377518F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lNGVkZmQ1NjdkNGQzZGM2OWU1ZWI2MmM4NDlhZjYifQ=="/>
  </w:docVars>
  <w:rsids>
    <w:rsidRoot w:val="00CA6457"/>
    <w:rsid w:val="00056465"/>
    <w:rsid w:val="00121AE4"/>
    <w:rsid w:val="00146AAD"/>
    <w:rsid w:val="001B3A40"/>
    <w:rsid w:val="001B6CEB"/>
    <w:rsid w:val="002C4738"/>
    <w:rsid w:val="00325819"/>
    <w:rsid w:val="00392327"/>
    <w:rsid w:val="004366A8"/>
    <w:rsid w:val="004973F4"/>
    <w:rsid w:val="00502BA7"/>
    <w:rsid w:val="0051288D"/>
    <w:rsid w:val="005162F1"/>
    <w:rsid w:val="00535153"/>
    <w:rsid w:val="00536224"/>
    <w:rsid w:val="00554F82"/>
    <w:rsid w:val="0056390D"/>
    <w:rsid w:val="005719B0"/>
    <w:rsid w:val="005D10D6"/>
    <w:rsid w:val="00741077"/>
    <w:rsid w:val="00774FC7"/>
    <w:rsid w:val="00855E3A"/>
    <w:rsid w:val="00892FAA"/>
    <w:rsid w:val="00922CB9"/>
    <w:rsid w:val="009B5D7E"/>
    <w:rsid w:val="009E5CD9"/>
    <w:rsid w:val="009F4E7D"/>
    <w:rsid w:val="00A26421"/>
    <w:rsid w:val="00A4293B"/>
    <w:rsid w:val="00A67D50"/>
    <w:rsid w:val="00A8691A"/>
    <w:rsid w:val="00AC1946"/>
    <w:rsid w:val="00B40063"/>
    <w:rsid w:val="00B41F61"/>
    <w:rsid w:val="00BA46E6"/>
    <w:rsid w:val="00BB200C"/>
    <w:rsid w:val="00BC5DAB"/>
    <w:rsid w:val="00C56C72"/>
    <w:rsid w:val="00CA6457"/>
    <w:rsid w:val="00D17F2E"/>
    <w:rsid w:val="00D30354"/>
    <w:rsid w:val="00DF42A0"/>
    <w:rsid w:val="00E25910"/>
    <w:rsid w:val="00E769FE"/>
    <w:rsid w:val="00EA2CBE"/>
    <w:rsid w:val="00F32FEE"/>
    <w:rsid w:val="00FB10BB"/>
    <w:rsid w:val="038570DF"/>
    <w:rsid w:val="0ED37E92"/>
    <w:rsid w:val="10C22E15"/>
    <w:rsid w:val="19AB3A16"/>
    <w:rsid w:val="1A1023C3"/>
    <w:rsid w:val="238F0A56"/>
    <w:rsid w:val="3B4E2FC7"/>
    <w:rsid w:val="3CE8515C"/>
    <w:rsid w:val="3EB939DD"/>
    <w:rsid w:val="45B857D0"/>
    <w:rsid w:val="48AF0D65"/>
    <w:rsid w:val="4B6F424B"/>
    <w:rsid w:val="4D7E6AE5"/>
    <w:rsid w:val="5E682C8F"/>
    <w:rsid w:val="5F210024"/>
    <w:rsid w:val="5F940A5D"/>
    <w:rsid w:val="678946EE"/>
    <w:rsid w:val="6BBA1612"/>
    <w:rsid w:val="6C617F15"/>
    <w:rsid w:val="6C812953"/>
    <w:rsid w:val="6E490647"/>
    <w:rsid w:val="7436609B"/>
    <w:rsid w:val="74F10169"/>
    <w:rsid w:val="76286FC0"/>
    <w:rsid w:val="7E6C1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link w:val="18"/>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customStyle="1" w:styleId="18">
    <w:name w:val=" Char Char Char Char Char Char Char"/>
    <w:basedOn w:val="1"/>
    <w:link w:val="17"/>
    <w:qFormat/>
    <w:uiPriority w:val="0"/>
  </w:style>
  <w:style w:type="character" w:styleId="19">
    <w:name w:val="Strong"/>
    <w:basedOn w:val="17"/>
    <w:qFormat/>
    <w:uiPriority w:val="0"/>
    <w:rPr>
      <w:b/>
      <w:bCs/>
    </w:rPr>
  </w:style>
  <w:style w:type="character" w:styleId="20">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5"/>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6A79B-9EC9-442E-8771-45C0FE1CC5B2}">
  <ds:schemaRefs/>
</ds:datastoreItem>
</file>

<file path=docProps/app.xml><?xml version="1.0" encoding="utf-8"?>
<Properties xmlns="http://schemas.openxmlformats.org/officeDocument/2006/extended-properties" xmlns:vt="http://schemas.openxmlformats.org/officeDocument/2006/docPropsVTypes">
  <Template>Normal</Template>
  <Pages>5</Pages>
  <Words>1561</Words>
  <Characters>1682</Characters>
  <Lines>9</Lines>
  <Paragraphs>2</Paragraphs>
  <TotalTime>7</TotalTime>
  <ScaleCrop>false</ScaleCrop>
  <LinksUpToDate>false</LinksUpToDate>
  <CharactersWithSpaces>1702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2022-08-24T04:22:00Z</cp:lastPrinted>
  <dcterms:modified xsi:type="dcterms:W3CDTF">2026-08-26T08:37:22Z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8A95717A185C425B80BFC68C4E6E8119</vt:lpwstr>
  </property>
</Properties>
</file>