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79FFDE" w14:textId="77777777" w:rsidR="00B30C15" w:rsidRDefault="00DB6A4D">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w:t>
      </w:r>
      <w:r>
        <w:rPr>
          <w:rFonts w:ascii="仿宋" w:eastAsia="仿宋" w:hAnsi="仿宋" w:cs="宋体" w:hint="eastAsia"/>
          <w:kern w:val="0"/>
          <w:sz w:val="32"/>
          <w:szCs w:val="32"/>
        </w:rPr>
        <w:t>2</w:t>
      </w:r>
      <w:r>
        <w:rPr>
          <w:rFonts w:ascii="仿宋" w:eastAsia="仿宋" w:hAnsi="仿宋" w:cs="宋体" w:hint="eastAsia"/>
          <w:kern w:val="0"/>
          <w:sz w:val="32"/>
          <w:szCs w:val="32"/>
        </w:rPr>
        <w:t>：</w:t>
      </w:r>
    </w:p>
    <w:p w14:paraId="1359DBB7" w14:textId="77777777" w:rsidR="00B30C15" w:rsidRDefault="00B30C15">
      <w:pPr>
        <w:spacing w:line="540" w:lineRule="exact"/>
        <w:jc w:val="center"/>
        <w:rPr>
          <w:rFonts w:ascii="华文中宋" w:eastAsia="华文中宋" w:hAnsi="华文中宋" w:cs="宋体"/>
          <w:b/>
          <w:kern w:val="0"/>
          <w:sz w:val="52"/>
          <w:szCs w:val="52"/>
        </w:rPr>
      </w:pPr>
    </w:p>
    <w:p w14:paraId="794EBCE4" w14:textId="77777777" w:rsidR="00B30C15" w:rsidRDefault="00B30C15">
      <w:pPr>
        <w:spacing w:line="540" w:lineRule="exact"/>
        <w:jc w:val="center"/>
        <w:rPr>
          <w:rFonts w:ascii="华文中宋" w:eastAsia="华文中宋" w:hAnsi="华文中宋" w:cs="宋体"/>
          <w:b/>
          <w:kern w:val="0"/>
          <w:sz w:val="52"/>
          <w:szCs w:val="52"/>
        </w:rPr>
      </w:pPr>
    </w:p>
    <w:p w14:paraId="5CB1669F" w14:textId="77777777" w:rsidR="00B30C15" w:rsidRDefault="00B30C15">
      <w:pPr>
        <w:spacing w:line="540" w:lineRule="exact"/>
        <w:jc w:val="center"/>
        <w:rPr>
          <w:rFonts w:ascii="华文中宋" w:eastAsia="华文中宋" w:hAnsi="华文中宋" w:cs="宋体"/>
          <w:b/>
          <w:kern w:val="0"/>
          <w:sz w:val="52"/>
          <w:szCs w:val="52"/>
        </w:rPr>
      </w:pPr>
    </w:p>
    <w:p w14:paraId="1CBABBE7" w14:textId="77777777" w:rsidR="00B30C15" w:rsidRDefault="00B30C15">
      <w:pPr>
        <w:spacing w:line="540" w:lineRule="exact"/>
        <w:jc w:val="center"/>
        <w:rPr>
          <w:rFonts w:ascii="华文中宋" w:eastAsia="华文中宋" w:hAnsi="华文中宋" w:cs="宋体"/>
          <w:b/>
          <w:kern w:val="0"/>
          <w:sz w:val="52"/>
          <w:szCs w:val="52"/>
        </w:rPr>
      </w:pPr>
    </w:p>
    <w:p w14:paraId="42C7541A" w14:textId="77777777" w:rsidR="00B30C15" w:rsidRDefault="00B30C15">
      <w:pPr>
        <w:spacing w:line="540" w:lineRule="exact"/>
        <w:jc w:val="center"/>
        <w:rPr>
          <w:rFonts w:ascii="华文中宋" w:eastAsia="华文中宋" w:hAnsi="华文中宋" w:cs="宋体"/>
          <w:b/>
          <w:kern w:val="0"/>
          <w:sz w:val="52"/>
          <w:szCs w:val="52"/>
        </w:rPr>
      </w:pPr>
    </w:p>
    <w:p w14:paraId="73F23259" w14:textId="77777777" w:rsidR="00B30C15" w:rsidRDefault="00B30C15">
      <w:pPr>
        <w:spacing w:line="540" w:lineRule="exact"/>
        <w:jc w:val="center"/>
        <w:rPr>
          <w:rFonts w:ascii="华文中宋" w:eastAsia="华文中宋" w:hAnsi="华文中宋" w:cs="宋体"/>
          <w:b/>
          <w:kern w:val="0"/>
          <w:sz w:val="52"/>
          <w:szCs w:val="52"/>
        </w:rPr>
      </w:pPr>
    </w:p>
    <w:p w14:paraId="2D82766C" w14:textId="15BA8B5A" w:rsidR="00B30C15" w:rsidRDefault="00DB6A4D">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项目支出绩效自评报告</w:t>
      </w:r>
    </w:p>
    <w:p w14:paraId="0105CAE8" w14:textId="77777777" w:rsidR="00B30C15" w:rsidRDefault="00B30C15">
      <w:pPr>
        <w:spacing w:line="540" w:lineRule="exact"/>
        <w:jc w:val="center"/>
        <w:rPr>
          <w:rFonts w:ascii="华文中宋" w:eastAsia="华文中宋" w:hAnsi="华文中宋" w:cs="宋体"/>
          <w:b/>
          <w:kern w:val="0"/>
          <w:sz w:val="52"/>
          <w:szCs w:val="52"/>
        </w:rPr>
      </w:pPr>
    </w:p>
    <w:p w14:paraId="5645C633" w14:textId="77777777" w:rsidR="00B30C15" w:rsidRDefault="00DB6A4D">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d"/>
          <w:rFonts w:ascii="楷体" w:eastAsia="楷体" w:hAnsi="楷体" w:hint="eastAsia"/>
          <w:spacing w:val="-4"/>
          <w:sz w:val="32"/>
          <w:szCs w:val="32"/>
        </w:rPr>
        <w:t>2023</w:t>
      </w:r>
      <w:proofErr w:type="spellStart"/>
      <w:proofErr w:type="spellEnd"/>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14:paraId="4DD17AE7" w14:textId="77777777" w:rsidR="00B30C15" w:rsidRDefault="00B30C15">
      <w:pPr>
        <w:spacing w:line="540" w:lineRule="exact"/>
        <w:jc w:val="center"/>
        <w:rPr>
          <w:rFonts w:eastAsia="仿宋_GB2312" w:hAnsi="宋体" w:cs="宋体"/>
          <w:kern w:val="0"/>
          <w:sz w:val="30"/>
          <w:szCs w:val="30"/>
        </w:rPr>
      </w:pPr>
    </w:p>
    <w:p w14:paraId="7864D631" w14:textId="77777777" w:rsidR="00B30C15" w:rsidRDefault="00B30C15">
      <w:pPr>
        <w:spacing w:line="540" w:lineRule="exact"/>
        <w:jc w:val="center"/>
        <w:rPr>
          <w:rFonts w:eastAsia="仿宋_GB2312" w:hAnsi="宋体" w:cs="宋体"/>
          <w:kern w:val="0"/>
          <w:sz w:val="30"/>
          <w:szCs w:val="30"/>
        </w:rPr>
      </w:pPr>
    </w:p>
    <w:p w14:paraId="1951DA0C" w14:textId="77777777" w:rsidR="00B30C15" w:rsidRDefault="00B30C15">
      <w:pPr>
        <w:spacing w:line="540" w:lineRule="exact"/>
        <w:jc w:val="center"/>
        <w:rPr>
          <w:rFonts w:eastAsia="仿宋_GB2312" w:hAnsi="宋体" w:cs="宋体"/>
          <w:kern w:val="0"/>
          <w:sz w:val="30"/>
          <w:szCs w:val="30"/>
        </w:rPr>
      </w:pPr>
    </w:p>
    <w:p w14:paraId="7426BE0C" w14:textId="77777777" w:rsidR="00B30C15" w:rsidRDefault="00B30C15">
      <w:pPr>
        <w:spacing w:line="540" w:lineRule="exact"/>
        <w:jc w:val="center"/>
        <w:rPr>
          <w:rFonts w:eastAsia="仿宋_GB2312" w:hAnsi="宋体" w:cs="宋体"/>
          <w:kern w:val="0"/>
          <w:sz w:val="30"/>
          <w:szCs w:val="30"/>
        </w:rPr>
      </w:pPr>
    </w:p>
    <w:p w14:paraId="0D55BB56" w14:textId="77777777" w:rsidR="00B30C15" w:rsidRDefault="00B30C15">
      <w:pPr>
        <w:spacing w:line="540" w:lineRule="exact"/>
        <w:jc w:val="center"/>
        <w:rPr>
          <w:rFonts w:eastAsia="仿宋_GB2312" w:hAnsi="宋体" w:cs="宋体"/>
          <w:kern w:val="0"/>
          <w:sz w:val="30"/>
          <w:szCs w:val="30"/>
        </w:rPr>
      </w:pPr>
    </w:p>
    <w:p w14:paraId="2D009827" w14:textId="77777777" w:rsidR="00B30C15" w:rsidRDefault="00B30C15">
      <w:pPr>
        <w:spacing w:line="540" w:lineRule="exact"/>
        <w:rPr>
          <w:rFonts w:eastAsia="仿宋_GB2312" w:hAnsi="宋体" w:cs="宋体"/>
          <w:kern w:val="0"/>
          <w:sz w:val="30"/>
          <w:szCs w:val="30"/>
        </w:rPr>
      </w:pPr>
    </w:p>
    <w:p w14:paraId="0AD9D5B4" w14:textId="77777777" w:rsidR="00B30C15" w:rsidRDefault="00DB6A4D">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61E82372" w14:textId="77777777" w:rsidR="00B30C15" w:rsidRDefault="00DB6A4D">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Pr>
          <w:rStyle w:val="ad"/>
          <w:rFonts w:ascii="楷体" w:eastAsia="楷体" w:hAnsi="楷体" w:hint="eastAsia"/>
          <w:spacing w:val="-4"/>
          <w:sz w:val="32"/>
          <w:szCs w:val="32"/>
        </w:rPr>
        <w:t>2023年人身意外伤害保险资金</w:t>
      </w:r>
      <w:proofErr w:type="spellStart"/>
      <w:proofErr w:type="spellEnd"/>
    </w:p>
    <w:p w14:paraId="21A4AA14" w14:textId="77777777" w:rsidR="00B30C15" w:rsidRDefault="00DB6A4D">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d"/>
          <w:rFonts w:ascii="楷体" w:eastAsia="楷体" w:hAnsi="楷体" w:hint="eastAsia"/>
          <w:spacing w:val="-4"/>
          <w:sz w:val="28"/>
          <w:szCs w:val="28"/>
        </w:rPr>
        <w:t>新源县医疗保障局</w:t>
      </w:r>
      <w:proofErr w:type="spellStart"/>
      <w:proofErr w:type="spellEnd"/>
    </w:p>
    <w:p w14:paraId="451D76B1" w14:textId="77777777" w:rsidR="00B30C15" w:rsidRDefault="00DB6A4D">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Pr>
          <w:rStyle w:val="ad"/>
          <w:rFonts w:ascii="楷体" w:eastAsia="楷体" w:hAnsi="楷体" w:hint="eastAsia"/>
          <w:spacing w:val="-4"/>
          <w:sz w:val="28"/>
          <w:szCs w:val="28"/>
        </w:rPr>
        <w:t>新源县医疗保障局</w:t>
      </w:r>
      <w:proofErr w:type="spellStart"/>
      <w:proofErr w:type="spellEnd"/>
    </w:p>
    <w:p w14:paraId="165F2B56" w14:textId="77777777" w:rsidR="00B30C15" w:rsidRDefault="00DB6A4D">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Pr>
          <w:rStyle w:val="ad"/>
          <w:rFonts w:ascii="楷体" w:eastAsia="楷体" w:hAnsi="楷体" w:hint="eastAsia"/>
          <w:spacing w:val="-4"/>
          <w:sz w:val="32"/>
          <w:szCs w:val="32"/>
        </w:rPr>
        <w:t>程菊英</w:t>
      </w:r>
      <w:proofErr w:type="spellStart"/>
      <w:proofErr w:type="spellEnd"/>
    </w:p>
    <w:p w14:paraId="5C0E3D36" w14:textId="77777777" w:rsidR="00B30C15" w:rsidRDefault="00DB6A4D">
      <w:pPr>
        <w:spacing w:line="540" w:lineRule="exact"/>
        <w:ind w:left="273" w:firstLine="567"/>
        <w:rPr>
          <w:rStyle w:val="ad"/>
          <w:rFonts w:ascii="楷体" w:eastAsia="楷体" w:hAnsi="楷体"/>
          <w:spacing w:val="-4"/>
          <w:sz w:val="32"/>
          <w:szCs w:val="32"/>
        </w:rPr>
      </w:pPr>
      <w:r>
        <w:rPr>
          <w:rFonts w:eastAsia="仿宋_GB2312" w:hAnsi="宋体" w:cs="宋体" w:hint="eastAsia"/>
          <w:kern w:val="0"/>
          <w:sz w:val="36"/>
          <w:szCs w:val="36"/>
        </w:rPr>
        <w:t>填报时间：</w:t>
      </w:r>
      <w:r>
        <w:rPr>
          <w:rStyle w:val="ad"/>
          <w:rFonts w:ascii="楷体" w:eastAsia="楷体" w:hAnsi="楷体" w:hint="eastAsia"/>
          <w:spacing w:val="-4"/>
          <w:sz w:val="32"/>
          <w:szCs w:val="32"/>
        </w:rPr>
        <w:t>2024年03月19日</w:t>
      </w:r>
    </w:p>
    <w:p w14:paraId="294F1896" w14:textId="77777777" w:rsidR="00B30C15" w:rsidRDefault="00B30C15">
      <w:pPr>
        <w:spacing w:line="700" w:lineRule="exact"/>
        <w:ind w:firstLineChars="236" w:firstLine="708"/>
        <w:jc w:val="left"/>
        <w:rPr>
          <w:rFonts w:eastAsia="仿宋_GB2312" w:hAnsi="宋体" w:cs="宋体"/>
          <w:kern w:val="0"/>
          <w:sz w:val="30"/>
          <w:szCs w:val="30"/>
        </w:rPr>
      </w:pPr>
    </w:p>
    <w:p w14:paraId="5A6EEF68" w14:textId="77777777" w:rsidR="00B30C15" w:rsidRDefault="00B30C15">
      <w:pPr>
        <w:spacing w:line="540" w:lineRule="exact"/>
        <w:rPr>
          <w:rStyle w:val="ad"/>
          <w:rFonts w:ascii="黑体" w:eastAsia="黑体" w:hAnsi="黑体"/>
          <w:b w:val="0"/>
          <w:spacing w:val="-4"/>
          <w:sz w:val="32"/>
          <w:szCs w:val="32"/>
        </w:rPr>
      </w:pPr>
    </w:p>
    <w:p w14:paraId="6CE35C78"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一、基本情况</w:t>
      </w:r>
    </w:p>
    <w:p w14:paraId="695F52D0"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（一）项目概况。包括项目背景、主要内容及实施情况、资金投入和使用情况等。</w:t>
      </w:r>
    </w:p>
    <w:p w14:paraId="08F8F31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（1）项目背景，主要内容及实施情况</w:t>
        <w:br/>
        <w:t>根据自治区深入贯彻习近平总书记关于新疆工作总目标再动员会议和自治区第九次党代会关于实施社保惠民工程的决定，为建立多层次医疗保障体系，扩大医疗救治范围2016年10月25日，自治区人社厅、财政厅、新疆保监局印发了《关于建立和实施人身意外伤害保险的通知》（新人社发【2016】140号），在全疆建立和实施人身意外伤害保险。</w:t>
        <w:br/>
        <w:t xml:space="preserve">    主要内容及实施情况</w:t>
        <w:br/>
        <w:t>主要内容：</w:t>
        <w:br/>
        <w:t>具有新疆户籍居民，参加自治区城镇职工和城乡居民基本医疗保险的非新疆户籍居民和援疆工作人员。人身意外伤害保险筹资标准为每人每年10元，个人不缴费，由自治区各级财政安排，财政困难的地区有自治区给予补助，保险期限为一年，预计本年参保人数大于等于228129人。</w:t>
        <w:br/>
        <w:t>为185650人员发放185.65补助，人均补助10元。</w:t>
        <w:br/>
        <w:t>实施情况：</w:t>
        <w:br/>
        <w:t>补助发放实施情况：本项目于2023年5月20日为185650人，每人10元的标准，发放共计185.65万元补助。截至2023年5月31日共计发放补助1856.5万元。</w:t>
        <w:br/>
        <w:t>（2)资金投入和使用情况</w:t>
        <w:br/>
        <w:t>资金投入情况：该项目年初预算数198.28万元，预算调减数12.63万元，全年预算数为185.65万元，预算调整率6.8%。截至2023年12月31日，该项目实际总投入185.65万元，实际总投入占比100%。截至2023年12月31日，该项目资金落实到位185.65万元，资金落实到位率100%，资金来源为自治区转移支付资金。</w:t>
        <w:br/>
        <w:t>资金使用情况：该项目年初预算数198.28万元，全年预算数185.65万元，全年执行数185.65万元，全年预算执行率为100%，用于：人身意外伤害保险支付额185.65万元。</w:t>
      </w:r>
    </w:p>
    <w:p w14:paraId="5191B688"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（二）项目绩效目标。包括总体目标和阶段性目标。</w:t>
      </w:r>
    </w:p>
    <w:p w14:paraId="5E1453B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（1）总体目标：</w:t>
        <w:br/>
        <w:t>完成2023年全县288129人参保群众能够及时就医，增强医患双方遵守医疗保障管理自觉性，改善补助人员</w:t>
        <w:br/>
        <w:t>（2）阶段性目标：</w:t>
        <w:br/>
        <w:t>2.1 2023年12月31日前完成人身意外伤害保险资金工作，保障185650人享受补助，补助金额为185.65万元。</w:t>
      </w:r>
    </w:p>
    <w:p w14:paraId="4CDBE12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二、</w:t>
      </w:r>
      <w:r>
        <w:rPr>
          <w:rStyle w:val="ad"/>
          <w:rFonts w:hint="eastAsia"/>
          <w:spacing w:val="-4"/>
          <w:sz w:val="32"/>
          <w:szCs w:val="32"/>
        </w:rPr>
        <w:t>绩效评价工作开展情况</w:t>
      </w:r>
    </w:p>
    <w:p w14:paraId="2A58866E"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（一）绩效评价目的、对象和范围。</w:t>
      </w:r>
    </w:p>
    <w:p w14:paraId="212A02D4"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（1）绩效评价目的：</w:t>
        <w:br/>
        <w:t>通过绩效评价，客观地评判项目的管理绩效，了解和掌握2023年人身意外伤害保险资金支出的具体情况，评价该项目资金安排的科学性、合理性、规范性和资金的使用成效，及时总结项目管理经验，完善项目管理办法，提高项目管理水平和资金使用效益。促使我单位根据绩效评价中发现的问题，认真加以整改，及时调整和完善单位的工作计划和绩效目标并加强项目管理，提高管理水平，同时为项目后续资金投入、分配和管理提供决策依据。</w:t>
        <w:br/>
        <w:t>（2）绩效评价对象：</w:t>
        <w:br/>
        <w:t>本次评价从项目决策（包括绩效目标、决策过程）、项目管理（包括项目资金、项目实施）、项目产出（包括项目产出数量、产出质量、产出时效和产出成本）、项目效益四个维度进行2023年人身意外伤害保险资金评价，评价核心为专项资金的支出完成情况和效果。</w:t>
        <w:br/>
        <w:t></w:t>
        <w:br/>
        <w:t>2.绩效评价原则、评价指标体系（附表</w:t>
      </w:r>
    </w:p>
    <w:p w14:paraId="63BB42D3"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（二）绩效评价原则、评价指标体系（附表说明）、评价方法、评价标准等。</w:t>
      </w:r>
    </w:p>
    <w:p w14:paraId="21FF8141"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（1）本次绩效评价主要遵循以下原则：</w:t>
        <w:br/>
        <w:t xml:space="preserve">    1）本次绩效评价严格按照《财政部关于印发&lt;项目支出绩效评价管理办法&gt;的通知》（财预【2020】10号）等文件要求，按照科学合理的方式，综合分析考核项目的绩效情况。</w:t>
        <w:br/>
        <w:t>2）科学公正。绩效评价应当运用科学合理的方法，按照规范的程序，对项目绩效进行客观、公正的反映。</w:t>
        <w:br/>
        <w:t>3）统筹兼顾。单位自评、部门评价和财政评价应职责明确，各有侧重，相互衔接。单位自评应由项目单位自主实施，即“谁支出、谁自评”。部门评价和财政评价应在单位自评的基础上开展，必要时可委托第三方机构实施。</w:t>
        <w:br/>
        <w:t>4）激励约束。绩效评价结果应与预算安排、政策调整、改进管理实质性挂钩，体现奖优罚劣和激励相容导向，有效要安排、低效要压减、无效要问责。</w:t>
        <w:br/>
        <w:t>5）公开透明。绩效评价结果应依法依规公开，并自觉接受社会监督。</w:t>
        <w:br/>
        <w:t>（2）评价指标体系（附表说明）</w:t>
        <w:br/>
        <w:t>本次绩效评价指标体系主要分为共性指标和个性指标两大类。共性指标下设决策与过程2个一级指标，其中：项目决策下项目立项、绩效目标、资金投入3个二级指标；过程下设资金管理和组织实施2个二级指标。个性指标下设产出和效益2个一级指标，其中产出下设产出数量、产出质量、产出时效、产出成本4个2级指标，效益下设项目效益2个二级指标。人身意外伤害保险项目支出绩效评价得分：95分。</w:t>
        <w:br/>
        <w:t>（3）评价方法</w:t>
        <w:br/>
        <w:t>本次项目支出绩效自评采用比较法，原因为：本项目为补助类型项目，因项目为常年性支出项目，项目实施内容及支出成本可参考历史情况、不同部门和地区同类支出情况进行比较，故采用比较法。</w:t>
        <w:br/>
        <w:t>（4）评价标准</w:t>
        <w:br/>
        <w:t>本次项目支出绩效自评采用历史标准，原因是：因本项目预算支出后预期的产出效益是明确的，故以预先制定的目标、计划、预算、定额等作为评价标准。</w:t>
      </w:r>
    </w:p>
    <w:p w14:paraId="620E63F7"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（三）绩效评价工作过程。</w:t>
      </w:r>
    </w:p>
    <w:p w14:paraId="5D1DF44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（1）前期准备：</w:t>
        <w:br/>
        <w:t>2024年2月1日，开始前期准备工作：</w:t>
        <w:br/>
        <w:t>1.12024年2月1日，2023年人身意外伤害保险资金预算绩效自评工作评价小组：叶勒扎提任评价组组长，主要负责确定绩效评价模板、总体协调沟通、全盘统筹、总体质量把关等工作。</w:t>
        <w:br/>
        <w:t>1.2王晓四任评价组副组长，主要负责绩效评价现场督导，对评价组成员的评价检查工作提供技术指导与支持，对实效评价工作质量把关。</w:t>
        <w:br/>
        <w:t>1.3张铁钢、陈艳芬、陈璐璐、高爱玲任评价组成员，主要负责现场调研工作，完成收集整理资料、审核数据、填报绩效评价内容等工作。</w:t>
        <w:br/>
        <w:t>1.4 2024年2月4日，评价组通过前期调研确定绩效评价对象和范围，确定了评价的目的、方法以及评价的原则；</w:t>
        <w:br/>
        <w:t>1.5 2024年2月14日，根据项目的实施内容和特征制定了评价指标体系及评价标准以及评价实施方案，修正并确定所需资料清单，最终确定绩效评价工作方案；</w:t>
        <w:br/>
        <w:t>（2）组织实施：</w:t>
        <w:br/>
        <w:t>2024年2月15日- 3月1日，评价工作进入实施阶段：</w:t>
        <w:br/>
        <w:t>2.1  评价组收集绩效评价相关数据资料，进行现场调研、座谈；</w:t>
        <w:br/>
        <w:t>2.2  与项目实施负责人沟通，了解资金的内容、操作流程、管理机制、资金使用方向等情况，分析形成初步结论。  </w:t>
        <w:br/>
        <w:t>（3）分析评价：</w:t>
        <w:br/>
        <w:t>2024年3月2日- 3月15日，评价组按照绩效评价的原则和规范，对取得的资料进行审查核实，对采集的数据进行分析，按照绩效评价指标评分表逐项进行打分、分析，汇总各方评价结果，综合分析并形成评价结论。</w:t>
      </w:r>
    </w:p>
    <w:p w14:paraId="6130A00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三、</w:t>
      </w:r>
      <w:r>
        <w:rPr>
          <w:rStyle w:val="ad"/>
          <w:rFonts w:hint="eastAsia"/>
          <w:spacing w:val="-4"/>
          <w:sz w:val="32"/>
          <w:szCs w:val="32"/>
        </w:rPr>
        <w:t>综合评价情况及评价结论</w:t>
      </w:r>
    </w:p>
    <w:p w14:paraId="2177354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1.综合评价情况及评价结论</w:t>
        <w:br/>
        <w:t>本项目严格按照科学公正、统筹兼顾、激励约束、公开透明的绩效评价原则，采用比较法、坚持历史标准此次绩效评价通过绩效评价小组论证的评价指标体系及评分标准，采用比较法、公众评判法、因素分析法等对该项目绩效进行客观评价，最终评分结果：总分为95分，绩效评级为“优”。综合评价结论如下：该项目共设置绩效目标17个，实现目标17个，完成率100.00%。项目决策指标共设置6个，满分指标6个，得分率100.00%；项目过程指标共设置5个，满分指标5个，得分率100.00%；项目产出指标共设置4个，满分指标4个，得分率100.00%；项目效益指标共设置2个，满分指标2个，得分率100.00%。</w:t>
        <w:br/>
        <w:t>评价结论:</w:t>
        <w:br/>
        <w:t>本项目得分情况如下：</w:t>
        <w:br/>
        <w:t>项目决策30分；</w:t>
        <w:br/>
        <w:t>项目过程30分；</w:t>
        <w:br/>
        <w:t>项目产出20分；</w:t>
        <w:br/>
        <w:t>项目效益18分。</w:t>
        <w:br/>
        <w:t>经评价，该项目达到了年初设立的绩效目标，人身意外伤害保险项目总体组织规范，完成了人身意外伤害保险项目的工作目标，在实施过程中取得了良好的成效，具体表现在以下两方面：</w:t>
        <w:br/>
        <w:t>在项目决策方面：完善社会保障体系，体现了‘民生优先、民生先动’的发展理念。</w:t>
        <w:br/>
        <w:t>项目产出方面：保障新疆各族人民群众发生意外伤害后能够得到及时的救助，降低人身意外伤害风险，促进家庭和社会安定和谐。</w:t>
        <w:br/>
        <w:t>项目效益方面：让人民群众有更多的获得感、幸福感，对维护新疆社会稳定和长治久安起到积极的作用。</w:t>
        <w:br/>
        <w:t>本项目的决策、过程、产出、效益均达到了预期要求，最终得分为98分，项目达成年度指标。</w:t>
      </w:r>
    </w:p>
    <w:p w14:paraId="7542F838" w14:textId="77777777" w:rsidR="00B30C15" w:rsidRDefault="00DB6A4D">
      <w:pPr>
        <w:spacing w:line="540" w:lineRule="exact"/>
        <w:ind w:firstLine="640"/>
        <w:rPr>
          <w:rStyle w:val="ad"/>
          <w:rFonts w:ascii="黑体" w:eastAsia="黑体" w:hAnsi="黑体"/>
        </w:rPr>
      </w:pPr>
      <w:r>
        <w:rPr>
          <w:rStyle w:val="ad"/>
          <w:rFonts w:ascii="黑体" w:eastAsia="黑体" w:hAnsi="黑体" w:hint="eastAsia"/>
          <w:b w:val="0"/>
          <w:spacing w:val="-4"/>
          <w:sz w:val="32"/>
          <w:szCs w:val="32"/>
        </w:rPr>
        <w:t>四、</w:t>
      </w:r>
      <w:r>
        <w:rPr>
          <w:rStyle w:val="ad"/>
          <w:rFonts w:hint="eastAsia"/>
          <w:spacing w:val="-4"/>
          <w:sz w:val="32"/>
          <w:szCs w:val="32"/>
        </w:rPr>
        <w:t>绩效评价指</w:t>
      </w:r>
      <w:r>
        <w:rPr>
          <w:rStyle w:val="ad"/>
          <w:rFonts w:hint="eastAsia"/>
          <w:spacing w:val="-4"/>
          <w:sz w:val="32"/>
          <w:szCs w:val="32"/>
        </w:rPr>
        <w:t>标分析</w:t>
      </w:r>
      <w:r>
        <w:rPr>
          <w:rStyle w:val="ad"/>
          <w:rFonts w:ascii="黑体" w:eastAsia="黑体" w:hAnsi="黑体" w:hint="eastAsia"/>
          <w:b w:val="0"/>
          <w:spacing w:val="-4"/>
          <w:sz w:val="32"/>
          <w:szCs w:val="32"/>
        </w:rPr>
        <w:t xml:space="preserve"> </w:t>
      </w:r>
    </w:p>
    <w:p w14:paraId="253974FB"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（一）项目决策情况。</w:t>
      </w:r>
    </w:p>
    <w:p w14:paraId="284985BF"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(1)立项依据充分性</w:t>
        <w:br/>
        <w:t>本项目立项符合自治区人社厅、财政厅、新疆保监局印发《关于建立和实施人身意外伤害保险的通知》（新人社发【2016】140号）；本项目立项符合《关于建立和实施人身意外伤害保险的通知》中：人身意外伤害保险应坚持的基本原则，符合行业发展规划和政策要求；本项目立项符合《新源县医疗保障局配置内设机构和人员编制规定》中职责范围中的贯彻实施国家、自治区、自治州医疗保险、生育保险、医疗救助等医疗保障制度，执行落实自治区医疗保障制度的法规规章、政策、规划和标准，属于我单位履职所需；根据《财政资金直接支付申请书》，本项目资金性质为“公共财政预算”功能分类为“其他医疗保障管理事务支出”经济分类为“社会保险缴费”属于公共财政支持范围，符合中央、地方事权支出责任划分原则；经检查我单位财政应用平台指标，本项目不存在重复。</w:t>
        <w:br/>
        <w:t>本项目为补助类项目，无立项过程，依据上述3条国家政策及项目资金批复，项目资金使用依据充分且合理。</w:t>
        <w:br/>
        <w:t>(2)立项程序规范性</w:t>
        <w:br/>
        <w:t>①项目立项程序：本项目为补助类项目，无项目立项程序，提报补助发放申请等均按照时间进度要求及资金批复等相关规定进行；</w:t>
        <w:br/>
        <w:t>②审批文件、材料：本项目审批文件有：《关于建立和实施人身意外伤害保险的通知》（新人社发【2016】140号）；本项目立项符合《关于建立和实施人身意外伤害保险的通知》，审批文件及材料齐全；</w:t>
        <w:br/>
        <w:t>③项目事前工作：本项目已经过必要的绩效评估、集体决策、事前绩效目标、事后评价。</w:t>
        <w:br/>
        <w:t>(3)绩效目标合理性</w:t>
        <w:br/>
        <w:t>人身意外伤害保险资金项目设立了项目绩效目标，①该项目已设置年度绩效目标，具体内容为“本项目已设置年度绩效目标，具体内容为根据伊州财社【2022】91号文，对具有新疆籍的居民，参加职工医疗和城乡居民医疗报的的非新疆户籍居民和援疆工作人员，增强医患双方遵守医疗保障管理规定的自觉性,真正实现从源头防范,切实保障医保基金的安全。贯彻人身意外伤害保险保险报销文件精神，确保就医人员及时就医结算报销。使补助人员生活改善，社会服务能力提升，实现病有所医，维护社会稳定。</w:t>
        <w:br/>
        <w:t>②该项目实际工作为：为我县185650人参加医疗保险人员购买意外伤害保险，资金由财政安排，标准为10元每人每年，保障参保人员发生意外有救助。</w:t>
        <w:br/>
        <w:t>③该项目按照绩效目标完成数量指标、质量指标、时效指标、成本指标，使补助人员生活改善，社会服务能力提升，实现病有所医，维护社会稳定。2023年度绩效目标完成，预期产出效益和效果是否符合正常的业绩水平。</w:t>
        <w:br/>
        <w:t>④该项目批复的预算金额为185.65万元，《项目支出绩效目标表》中预算金额为185.65万元，预算确定的项目资金与预算确定的项目投资额相匹配。</w:t>
        <w:br/>
        <w:t>具有相关性，项目的预期产出效益和效果也均能符合正常的业绩水平，并且与预算确定的项目投资额或资金量相匹配。</w:t>
        <w:br/>
        <w:t>(4)绩效指标明确性</w:t>
        <w:br/>
        <w:t>12将项目绩效目标细化分解为具体的绩效指标，一级指标共4条，二级指标共6条，三级指标共7条，其中量化指标条数共7条，所有绩效指标均通过清晰、可衡量的指标值予以体现，并且做到了与项目目标任务数或计划数相对应。</w:t>
        <w:br/>
        <w:t>(5)预算编制科学性</w:t>
        <w:br/>
        <w:t xml:space="preserve">    本项目实施内容为发放人身意外伤害保险资金，资金使用严格按照项目财务管理制度及预算批复内容进行，项目预算编制根据补助发放人数及标准进行计算，预算数经过党组会会议确定，预算内容与项目内容无偏差，预算额度测算依据充分，项目投资额与工作任务匹配性100%，不存在偏差性。</w:t>
        <w:br/>
        <w:t>(6)资金分配合理性</w:t>
        <w:br/>
        <w:t xml:space="preserve">    本项目预算资金分配依据《关于拨付2023年人身意外伤害保险第二批补助资金的通知》（伊州财社〔2023〕11号），项目资金分配额度无偏低或偏高情况，分配额度合理。新源县医疗保障局位于新源县，区域内受人身意外伤害保险补助人数为185650人，资金分配符合地方实际情况。</w:t>
      </w:r>
    </w:p>
    <w:p w14:paraId="279CAB95"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（二）项目过程情况。</w:t>
      </w:r>
    </w:p>
    <w:p w14:paraId="406F39A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(1)资金到位率</w:t>
        <w:br/>
        <w:t>实际到位资金185.65万元，预算资金185.65万元，资金到位率100%。</w:t>
        <w:br/>
        <w:t>(2)预算执行率</w:t>
        <w:br/>
        <w:t>年初预算数198.28万元，全年预算数185.65万元，全年执行数185.65万元，预算执行率为64.43%。</w:t>
        <w:br/>
        <w:t>(3)资金使用合规性</w:t>
        <w:br/>
        <w:t>3.1 资金使用符合、财务管理制度以及有关专项资金管理办法的规定；</w:t>
        <w:br/>
        <w:t>3.2 资金的拨付严格按照医疗保障局单位资金拨付审批程序进行：由办公室提交财务科申请到分管领导，经审批后提交到财政局。项目资金拨付手续齐全，资金拨付手续有：计划申请单、支付申请单。</w:t>
        <w:br/>
        <w:t>3.3 本项目资金规定的用途为：发放185650人的185.65万元补助。符合项目预算批复规定的用途；</w:t>
        <w:br/>
        <w:t>3.4 项目资金截至2023年12月31日已拨付至100%，过程不存在截留、挤占、挪用、虚列支出等情况。</w:t>
        <w:br/>
        <w:t>(4)管理制度健全性</w:t>
        <w:br/>
        <w:t>4.1 本项目已制定《新源县医疗保障局财务管理制度》、《新源县医疗保障局项目管理制度》管理制度健全；</w:t>
        <w:br/>
        <w:t>4.2 本项目财务及业务管理制度符合《中华人民共和国政府采购法》、《中华人民共和国会计法》等相关法律法规，财务和业务管理制度已经过医疗保障局党组会审批通过，确保了各项制度的合法合规性及完整性。</w:t>
        <w:br/>
        <w:t>(5)制度执行有效性</w:t>
        <w:br/>
        <w:t xml:space="preserve">    5.1 项目的审批、实施过程均遵守相关法律法规和相关管理规定；</w:t>
        <w:br/>
        <w:t>5.2 该项目无调整情况。</w:t>
        <w:br/>
        <w:t>5.3 项目预算批复、资金拨付批复等资料齐全并已及时归档</w:t>
        <w:br/>
        <w:t>5.4 项目实施的人员条件、信息支撑等均已落实到位。</w:t>
      </w:r>
    </w:p>
    <w:p w14:paraId="0602F923"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（三）项目产出情况。</w:t>
      </w:r>
    </w:p>
    <w:p w14:paraId="3B1C5BC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我单位人身意外伤害保险资金截止到2023年12月31日，已完成185.65万元。参加人身意外伤害保险补助人数为185650人，补助金额为185.65万元。</w:t>
        <w:br/>
        <w:t></w:t>
        <w:br/>
        <w:t></w:t>
        <w:br/>
        <w:t>(1)项目完成数量</w:t>
        <w:br/>
        <w:t>指标1：参加人身意外伤害保险补助人数，指标值：&gt;=288129人，实际完成值185650人 ，指标完成率64.43 %，指标偏差率35.57%，偏差原因：2023年8月自治人身意外伤害保险人数调整；</w:t>
        <w:br/>
        <w:t>(2)项目完成质量</w:t>
        <w:br/>
        <w:t>指标1：人身意外伤害保险补助覆盖率，指标值：=100%，实际完成值100% ，指标完成率100 %。</w:t>
        <w:br/>
        <w:t>（3）项目完成时效</w:t>
        <w:br/>
        <w:t>指标1：财政补助资金到位及时率，指标值：100% ，实际完成值100%，指标完成率100%，指标偏差率0%；</w:t>
        <w:br/>
        <w:t>指标2：人身意外伤害保险补助发放及时率，指标值：100 ，实际完成值100，指标完成率100%，指标偏差率0%。</w:t>
        <w:br/>
        <w:t>（4）项目完成成本</w:t>
        <w:br/>
        <w:t>指标1：人身意外伤害年支付额，指标值：185.65万元，实际完成值185.65万元，指标完成率100%；</w:t>
      </w:r>
    </w:p>
    <w:p w14:paraId="49FAA821"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（四）项目效益情况。</w:t>
      </w:r>
    </w:p>
    <w:p w14:paraId="3010DFF8"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我单位人身意外伤害保险项目截止到2023年12月31日，已完成185650人的补助金额，全成185.65万元。改善补助人员生活，实现病有所医指标，预期指标值为有效保障，实际完成指标值为达成年度指标，指标完成率为100.00%。</w:t>
        <w:br/>
        <w:t>1、项目实施的社会效益分析</w:t>
        <w:br/>
        <w:t>指标1：人身意外伤害保险项目截止到2023年5月31日，改善补助人员生活，实现病有所医指标，指标值：有效保障 ，实际完成值有效保障改善补助人员生活，实现病有所医，指标完成率100%，指标偏差率0%。</w:t>
        <w:br/>
        <w:t>5.项目满意度指标完成情况分析</w:t>
        <w:br/>
        <w:t>指标1：享受补助人员满意度，指标值：&gt;=95% ，实际完成值&gt;=95%，指标完成率100%，指标偏差率0%。</w:t>
      </w:r>
    </w:p>
    <w:p w14:paraId="126CE8BD"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（五）满意度指标完成情况分析。</w:t>
      </w:r>
    </w:p>
    <w:p w14:paraId="7729649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
      </w:r>
    </w:p>
    <w:p w14:paraId="0A05BF98" w14:textId="77777777" w:rsidR="00B30C15" w:rsidRDefault="00DB6A4D">
      <w:pPr>
        <w:spacing w:line="540" w:lineRule="exact"/>
        <w:ind w:firstLine="640"/>
        <w:rPr>
          <w:rStyle w:val="ad"/>
          <w:rFonts w:ascii="黑体" w:eastAsia="黑体" w:hAnsi="黑体"/>
          <w:spacing w:val="-4"/>
          <w:sz w:val="32"/>
          <w:szCs w:val="32"/>
        </w:rPr>
      </w:pPr>
      <w:r>
        <w:rPr>
          <w:rStyle w:val="ad"/>
          <w:rFonts w:ascii="黑体" w:eastAsia="黑体" w:hAnsi="黑体" w:hint="eastAsia"/>
          <w:b w:val="0"/>
          <w:spacing w:val="-4"/>
          <w:sz w:val="32"/>
          <w:szCs w:val="32"/>
        </w:rPr>
        <w:t>五、</w:t>
      </w:r>
      <w:r>
        <w:rPr>
          <w:rStyle w:val="ad"/>
          <w:rFonts w:ascii="黑体" w:eastAsia="黑体" w:hAnsi="黑体"/>
          <w:b w:val="0"/>
          <w:spacing w:val="-4"/>
          <w:sz w:val="32"/>
          <w:szCs w:val="32"/>
        </w:rPr>
        <w:t>主要经验及做法、存在的问题及原因分析</w:t>
      </w:r>
    </w:p>
    <w:p w14:paraId="1993D4B5"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1.主要经验及做法</w:t>
        <w:br/>
        <w:t>（1）是领导高度重视。专项资金预算下拨后，主要领导和分管领导高度重视，落实责任分工，确保项目顺利进行。</w:t>
        <w:br/>
        <w:t>（2）进一步加强项目管理和协调服务，全面落实补助支出进度及强化资金支出效果。推行月报支付，进一步加强项目资金支出的监管力度。每月定期督查项目支出进度、资金来源和使用等推进情况，实行动态监管。进一步加强项目协调推动机制，协调帮助解决项目推进中的困难和问题。</w:t>
        <w:br/>
        <w:t xml:space="preserve">（3）针对绩效管理认识及理解，要进一步加强对系统全面的理论认识及培训，我单位将进一步加强绩效管理及监控学习及培训，加强绩效管     </w:t>
        <w:br/>
        <w:t>（4）进一步加强项目管理和协调服务，全面落实补助支出进度及强化资金支出效果。进一步加强项目资金支出的监管力度。资金来源和使用等推进情况，进一步加强项目协调推动机制，协调帮助解决项目推进中的困难和问题。</w:t>
        <w:br/>
        <w:t>后续工作计划：</w:t>
        <w:br/>
        <w:t>我们将进一步加强资金管理、项目管理，用制度、用规范来有效提高项目进度，专人负责资金、专人负责项目现场管理，确保该项目在既定时间内完成所有工程量，达到预期效果。</w:t>
        <w:br/>
        <w:t>2.存在的问题及原因分析</w:t>
        <w:br/>
        <w:t>存在的问题：</w:t>
        <w:br/>
        <w:t>1、缺少专业的预算绩效管理队伍支持。预算绩效工作涉及项目业务、财务、效益等方面的知识，相关业务人员严重缺失，导致绩效评价报告质量较差。</w:t>
        <w:br/>
        <w:t>2、指标体系和评价方法不够完善。一方面是缺乏统一、科学、合理的预算管理指标体系，导致绩效评价指标单一，设置粗放，另一方面，评价的方法不够科学。</w:t>
        <w:br/>
        <w:t>改进措施：</w:t>
        <w:br/>
        <w:t>（1）科学编制预算，提高预算编制与目标匹配度</w:t>
        <w:br/>
        <w:t xml:space="preserve">科学的预算编制应该保证预算和目标在质和量上相匹配，即一方面预算应该根据目标来编制，保证每一个目标的实现均有相应的预算安排，另一方面应在合理测算工作量的基础上保证预算编制的准确性。 </w:t>
        <w:br/>
        <w:t>对此，预算单位会同财政部门共同梳理项目绩效目标，合理测算项目工作量，科学编制预算。</w:t>
      </w:r>
    </w:p>
    <w:p w14:paraId="5753D6DB" w14:textId="77777777" w:rsidR="00B30C15" w:rsidRDefault="00DB6A4D">
      <w:pPr>
        <w:ind w:firstLineChars="200" w:firstLine="624"/>
        <w:rPr>
          <w:rStyle w:val="ad"/>
          <w:rFonts w:ascii="黑体" w:eastAsia="黑体" w:hAnsi="黑体"/>
          <w:b w:val="0"/>
          <w:spacing w:val="-4"/>
          <w:sz w:val="32"/>
          <w:szCs w:val="32"/>
        </w:rPr>
      </w:pPr>
      <w:r>
        <w:rPr>
          <w:rStyle w:val="ad"/>
          <w:rFonts w:ascii="黑体" w:eastAsia="黑体" w:hAnsi="黑体" w:hint="eastAsia"/>
          <w:b w:val="0"/>
          <w:spacing w:val="-4"/>
          <w:sz w:val="32"/>
          <w:szCs w:val="32"/>
        </w:rPr>
        <w:t>六</w:t>
      </w:r>
      <w:r>
        <w:rPr>
          <w:rStyle w:val="ad"/>
          <w:rFonts w:ascii="黑体" w:eastAsia="黑体" w:hAnsi="黑体"/>
          <w:b w:val="0"/>
          <w:spacing w:val="-4"/>
          <w:sz w:val="32"/>
          <w:szCs w:val="32"/>
        </w:rPr>
        <w:t>、有关建议</w:t>
      </w:r>
    </w:p>
    <w:p w14:paraId="466664C1"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1.主要经验及做法</w:t>
        <w:br/>
        <w:t>（1）是领导高度重视。专项资金预算下拨后，主要领导和分管领导高度重视，落实责任分工，确保项目顺利进行。</w:t>
        <w:br/>
        <w:t>（2）进一步加强项目管理和协调服务，全面落实补助支出进度及强化资金支出效果。推行月报支付，进一步加强项目资金支出的监管力度。每月定期督查项目支出进度、资金来源和使用等推进情况，实行动态监管。进一步加强项目协调推动机制，协调帮助解决项目推进中的困难和问题。</w:t>
        <w:br/>
        <w:t xml:space="preserve">（3）针对绩效管理认识及理解，要进一步加强对系统全面的理论认识及培训，我单位将进一步加强绩效管理及监控学习及培训，加强绩效管     </w:t>
        <w:br/>
        <w:t>（4）进一步加强项目管理和协调服务，全面落实补助支出进度及强化资金支出效果。进一步加强项目资金支出的监管力度。资金来源和使用等推进情况，进一步加强项目协调推动机制，协调帮助解决项目推进中的困难和问题。</w:t>
        <w:br/>
        <w:t>后续工作计划：</w:t>
        <w:br/>
        <w:t>我们将进一步加强资金管理、项目管理，用制度、用规范来有效提高项目进度，专人负责资金、专人负责项目现场管理，确保该项目在既定时间内完成所有工程量，达到预期效果。</w:t>
        <w:br/>
        <w:t>2.存在的问题及原因分析</w:t>
        <w:br/>
        <w:t>存在的问题：</w:t>
        <w:br/>
        <w:t>1、缺少专业的预算绩效管理队伍支持。预算绩效工作涉及项目业务、财务、效益等方面的知识，相关业务人员严重缺失，导致绩效评价报告质量较差。</w:t>
        <w:br/>
        <w:t>2、指标体系和评价方法不够完善。一方面是缺乏统一、科学、合理的预算管理指标体系，导致绩效评价指标单一，设置粗放，另一方面，评价的方法不够科学。</w:t>
        <w:br/>
        <w:t>改进措施：</w:t>
        <w:br/>
        <w:t>（1）科学编制预算，提高预算编制与目标匹配度</w:t>
        <w:br/>
        <w:t xml:space="preserve">科学的预算编制应该保证预算和目标在质和量上相匹配，即一方面预算应该根据目标来编制，保证每一个目标的实现均有相应的预算安排，另一方面应在合理测算工作量的基础上保证预算编制的准确性。 </w:t>
        <w:br/>
        <w:t>对此，预算单位会同财政部门共同梳理项目绩效目标，合理测算项目工作量，科学编制预算。</w:t>
      </w:r>
    </w:p>
    <w:p w14:paraId="613407BE" w14:textId="77777777" w:rsidR="00B30C15" w:rsidRDefault="00DB6A4D">
      <w:pPr>
        <w:spacing w:line="540" w:lineRule="exact"/>
        <w:ind w:firstLine="567"/>
        <w:rPr>
          <w:rStyle w:val="ad"/>
          <w:rFonts w:ascii="黑体" w:eastAsia="黑体" w:hAnsi="黑体"/>
          <w:b w:val="0"/>
          <w:spacing w:val="-4"/>
          <w:sz w:val="32"/>
          <w:szCs w:val="32"/>
        </w:rPr>
      </w:pPr>
      <w:r>
        <w:rPr>
          <w:rStyle w:val="ad"/>
          <w:rFonts w:ascii="黑体" w:eastAsia="黑体" w:hAnsi="黑体" w:hint="eastAsia"/>
          <w:b w:val="0"/>
          <w:spacing w:val="-4"/>
          <w:sz w:val="32"/>
          <w:szCs w:val="32"/>
        </w:rPr>
        <w:t>七</w:t>
      </w:r>
      <w:r>
        <w:rPr>
          <w:rStyle w:val="ad"/>
          <w:rFonts w:ascii="黑体" w:eastAsia="黑体" w:hAnsi="黑体" w:hint="eastAsia"/>
          <w:b w:val="0"/>
          <w:spacing w:val="-4"/>
          <w:sz w:val="32"/>
          <w:szCs w:val="32"/>
        </w:rPr>
        <w:t>、其他需要说明的问题</w:t>
      </w:r>
    </w:p>
    <w:p w14:paraId="2419F6BE"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（1）本次预算绩效评价所采集的数据因为采集时间、数据来源等诸多因素的影响，可能会出现一定的偏差，进而对评价结果存在影响；</w:t>
        <w:br/>
        <w:t>(2)评价结果作为安排政府预算、完善政策和改进管理的重要依据。原则上，对评价等级为优、良的，根据情况予以支持；对评价等级为中、差的，要完善政策、改进管理，根据情况核减预算。</w:t>
      </w:r>
    </w:p>
    <w:p w14:paraId="131B8E06" w14:textId="77777777" w:rsidR="00B30C15" w:rsidRDefault="00B30C15">
      <w:pPr>
        <w:spacing w:line="540" w:lineRule="exact"/>
        <w:ind w:firstLine="567"/>
        <w:rPr>
          <w:rStyle w:val="ad"/>
          <w:rFonts w:ascii="仿宋" w:eastAsia="仿宋" w:hAnsi="仿宋"/>
          <w:b w:val="0"/>
          <w:spacing w:val="-4"/>
          <w:sz w:val="32"/>
          <w:szCs w:val="32"/>
        </w:rPr>
      </w:pPr>
    </w:p>
    <w:p w14:paraId="23243C18" w14:textId="77777777" w:rsidR="00B30C15" w:rsidRDefault="00B30C15">
      <w:pPr>
        <w:spacing w:line="540" w:lineRule="exact"/>
        <w:ind w:firstLine="567"/>
        <w:rPr>
          <w:rStyle w:val="ad"/>
          <w:rFonts w:ascii="仿宋" w:eastAsia="仿宋" w:hAnsi="仿宋"/>
          <w:b w:val="0"/>
          <w:spacing w:val="-4"/>
          <w:sz w:val="32"/>
          <w:szCs w:val="32"/>
        </w:rPr>
      </w:pPr>
    </w:p>
    <w:p w14:paraId="40223C3C" w14:textId="77777777" w:rsidR="00B30C15" w:rsidRDefault="00B30C15">
      <w:pPr>
        <w:spacing w:line="540" w:lineRule="exact"/>
        <w:ind w:firstLine="567"/>
        <w:rPr>
          <w:rStyle w:val="ad"/>
          <w:rFonts w:ascii="仿宋" w:eastAsia="仿宋" w:hAnsi="仿宋"/>
          <w:b w:val="0"/>
          <w:spacing w:val="-4"/>
          <w:sz w:val="32"/>
          <w:szCs w:val="32"/>
        </w:rPr>
      </w:pPr>
    </w:p>
    <w:p w14:paraId="7C6DA9A0" w14:textId="77777777" w:rsidR="00B30C15" w:rsidRDefault="00B30C15">
      <w:pPr>
        <w:spacing w:line="540" w:lineRule="exact"/>
        <w:ind w:firstLine="567"/>
        <w:rPr>
          <w:rStyle w:val="ad"/>
          <w:rFonts w:ascii="仿宋" w:eastAsia="仿宋" w:hAnsi="仿宋"/>
          <w:b w:val="0"/>
          <w:spacing w:val="-4"/>
          <w:sz w:val="32"/>
          <w:szCs w:val="32"/>
        </w:rPr>
      </w:pPr>
    </w:p>
    <w:p w14:paraId="16116B8B" w14:textId="77777777" w:rsidR="00B30C15" w:rsidRDefault="00B30C15">
      <w:pPr>
        <w:spacing w:line="540" w:lineRule="exact"/>
        <w:ind w:firstLine="567"/>
        <w:rPr>
          <w:rStyle w:val="ad"/>
          <w:rFonts w:ascii="仿宋" w:eastAsia="仿宋" w:hAnsi="仿宋"/>
          <w:b w:val="0"/>
          <w:spacing w:val="-4"/>
          <w:sz w:val="32"/>
          <w:szCs w:val="32"/>
        </w:rPr>
      </w:pPr>
    </w:p>
    <w:p w14:paraId="35577642" w14:textId="77777777" w:rsidR="00B30C15" w:rsidRDefault="00B30C15">
      <w:pPr>
        <w:spacing w:line="540" w:lineRule="exact"/>
        <w:ind w:firstLine="567"/>
        <w:rPr>
          <w:rStyle w:val="ad"/>
          <w:rFonts w:ascii="仿宋" w:eastAsia="仿宋" w:hAnsi="仿宋"/>
          <w:b w:val="0"/>
          <w:spacing w:val="-4"/>
          <w:sz w:val="32"/>
          <w:szCs w:val="32"/>
        </w:rPr>
      </w:pPr>
    </w:p>
    <w:p w14:paraId="776095BE" w14:textId="77777777" w:rsidR="00B30C15" w:rsidRDefault="00B30C15">
      <w:pPr>
        <w:spacing w:line="540" w:lineRule="exact"/>
        <w:ind w:firstLine="567"/>
        <w:rPr>
          <w:rStyle w:val="ad"/>
          <w:rFonts w:ascii="仿宋" w:eastAsia="仿宋" w:hAnsi="仿宋"/>
          <w:b w:val="0"/>
          <w:spacing w:val="-4"/>
          <w:sz w:val="32"/>
          <w:szCs w:val="32"/>
        </w:rPr>
      </w:pPr>
    </w:p>
    <w:p w14:paraId="4F5D9D13" w14:textId="77777777" w:rsidR="00B30C15" w:rsidRDefault="00B30C15">
      <w:pPr>
        <w:spacing w:line="540" w:lineRule="exact"/>
        <w:ind w:firstLine="567"/>
        <w:rPr>
          <w:rStyle w:val="ad"/>
          <w:rFonts w:ascii="仿宋" w:eastAsia="仿宋" w:hAnsi="仿宋"/>
          <w:b w:val="0"/>
          <w:spacing w:val="-4"/>
          <w:sz w:val="32"/>
          <w:szCs w:val="32"/>
        </w:rPr>
      </w:pPr>
    </w:p>
    <w:p w14:paraId="555FAFE7" w14:textId="77777777" w:rsidR="00B30C15" w:rsidRDefault="00B30C15">
      <w:pPr>
        <w:spacing w:line="540" w:lineRule="exact"/>
        <w:ind w:firstLine="567"/>
        <w:rPr>
          <w:rStyle w:val="ad"/>
          <w:rFonts w:ascii="仿宋" w:eastAsia="仿宋" w:hAnsi="仿宋"/>
          <w:b w:val="0"/>
          <w:spacing w:val="-4"/>
          <w:sz w:val="32"/>
          <w:szCs w:val="32"/>
        </w:rPr>
      </w:pPr>
    </w:p>
    <w:p w14:paraId="52EC0E21" w14:textId="77777777" w:rsidR="00B30C15" w:rsidRDefault="00B30C15">
      <w:pPr>
        <w:spacing w:line="540" w:lineRule="exact"/>
        <w:ind w:firstLine="567"/>
        <w:rPr>
          <w:rStyle w:val="ad"/>
          <w:rFonts w:ascii="仿宋" w:eastAsia="仿宋" w:hAnsi="仿宋"/>
          <w:b w:val="0"/>
          <w:spacing w:val="-4"/>
          <w:sz w:val="32"/>
          <w:szCs w:val="32"/>
        </w:rPr>
      </w:pPr>
    </w:p>
    <w:p w14:paraId="44E6E054" w14:textId="77777777" w:rsidR="00B30C15" w:rsidRDefault="00B30C15">
      <w:pPr>
        <w:spacing w:line="540" w:lineRule="exact"/>
        <w:ind w:firstLine="567"/>
        <w:rPr>
          <w:rStyle w:val="ad"/>
          <w:rFonts w:ascii="仿宋" w:eastAsia="仿宋" w:hAnsi="仿宋"/>
          <w:b w:val="0"/>
          <w:spacing w:val="-4"/>
          <w:sz w:val="32"/>
          <w:szCs w:val="32"/>
        </w:rPr>
      </w:pPr>
    </w:p>
    <w:p w14:paraId="6838D646" w14:textId="77777777" w:rsidR="00B30C15" w:rsidRDefault="00B30C15">
      <w:pPr>
        <w:spacing w:line="540" w:lineRule="exact"/>
        <w:ind w:firstLine="567"/>
        <w:rPr>
          <w:rStyle w:val="ad"/>
          <w:rFonts w:ascii="仿宋" w:eastAsia="仿宋" w:hAnsi="仿宋"/>
          <w:b w:val="0"/>
          <w:spacing w:val="-4"/>
          <w:sz w:val="32"/>
          <w:szCs w:val="32"/>
        </w:rPr>
      </w:pPr>
    </w:p>
    <w:sectPr w:rsidR="00B30C15">
      <w:footerReference w:type="default" r:id="rId7"/>
      <w:pgSz w:w="11906" w:h="16838"/>
      <w:pgMar w:top="1440" w:right="1558"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5A3A29" w14:textId="77777777" w:rsidR="00DB6A4D" w:rsidRDefault="00DB6A4D">
      <w:r>
        <w:separator/>
      </w:r>
    </w:p>
  </w:endnote>
  <w:endnote w:type="continuationSeparator" w:id="0">
    <w:p w14:paraId="3E4BFEE6" w14:textId="77777777" w:rsidR="00DB6A4D" w:rsidRDefault="00DB6A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22003363"/>
    </w:sdtPr>
    <w:sdtEndPr/>
    <w:sdtContent>
      <w:p w14:paraId="598F32AA" w14:textId="77777777" w:rsidR="00B30C15" w:rsidRDefault="00DB6A4D">
        <w:pPr>
          <w:pStyle w:val="a5"/>
          <w:jc w:val="center"/>
        </w:pPr>
        <w:r>
          <w:fldChar w:fldCharType="begin"/>
        </w:r>
        <w:r>
          <w:instrText>PAGE   \* MERGEFORMAT</w:instrText>
        </w:r>
        <w:r>
          <w:fldChar w:fldCharType="separate"/>
        </w:r>
        <w:r>
          <w:rPr>
            <w:lang w:val="zh-CN"/>
          </w:rPr>
          <w:t>1</w:t>
        </w:r>
        <w:r>
          <w:fldChar w:fldCharType="end"/>
        </w:r>
      </w:p>
    </w:sdtContent>
  </w:sdt>
  <w:p w14:paraId="659798A5" w14:textId="77777777" w:rsidR="00B30C15" w:rsidRDefault="00B30C15">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181179" w14:textId="77777777" w:rsidR="00DB6A4D" w:rsidRDefault="00DB6A4D">
      <w:r>
        <w:separator/>
      </w:r>
    </w:p>
  </w:footnote>
  <w:footnote w:type="continuationSeparator" w:id="0">
    <w:p w14:paraId="1A9D08C1" w14:textId="77777777" w:rsidR="00DB6A4D" w:rsidRDefault="00DB6A4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C51DF"/>
    <w:rsid w:val="005D10D6"/>
    <w:rsid w:val="005E7C5E"/>
    <w:rsid w:val="00725906"/>
    <w:rsid w:val="0075584F"/>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30C15"/>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B6A4D"/>
    <w:rsid w:val="00DF42A0"/>
    <w:rsid w:val="00E30E91"/>
    <w:rsid w:val="00E769FE"/>
    <w:rsid w:val="00E774CE"/>
    <w:rsid w:val="00E96D03"/>
    <w:rsid w:val="00EA2CBE"/>
    <w:rsid w:val="00EB10A0"/>
    <w:rsid w:val="00F32FEE"/>
    <w:rsid w:val="00FB10BB"/>
    <w:rsid w:val="2BA4637D"/>
    <w:rsid w:val="4D2606A1"/>
    <w:rsid w:val="693832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FA1BD1"/>
  <w15:docId w15:val="{760815B5-13C2-448F-A3DB-8948AFE4B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sz w:val="18"/>
      <w:szCs w:val="18"/>
    </w:rPr>
  </w:style>
  <w:style w:type="paragraph" w:styleId="a5">
    <w:name w:val="footer"/>
    <w:basedOn w:val="a"/>
    <w:link w:val="a6"/>
    <w:uiPriority w:val="99"/>
    <w:unhideWhenUsed/>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qFormat/>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rPr>
      <w:rFonts w:asciiTheme="majorHAnsi" w:eastAsiaTheme="majorEastAsia" w:hAnsiTheme="majorHAnsi"/>
      <w:b/>
      <w:bCs/>
      <w:kern w:val="28"/>
      <w:sz w:val="32"/>
      <w:szCs w:val="32"/>
    </w:rPr>
  </w:style>
  <w:style w:type="character" w:customStyle="1" w:styleId="aa">
    <w:name w:val="副标题 字符"/>
    <w:basedOn w:val="a0"/>
    <w:link w:val="a9"/>
    <w:uiPriority w:val="11"/>
    <w:qFormat/>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qFormat/>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oter1.xml" Type="http://schemas.openxmlformats.org/officeDocument/2006/relationships/foot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107</Words>
  <Characters>611</Characters>
  <Application>Microsoft Office Word</Application>
  <DocSecurity>0</DocSecurity>
  <Lines>5</Lines>
  <Paragraphs>1</Paragraphs>
  <ScaleCrop>false</ScaleCrop>
  <Company>微软中国</Company>
  <LinksUpToDate>false</LinksUpToDate>
  <CharactersWithSpaces>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2018-08-15T02:06:00Z</dcterms:created>
  <dc:creator>赵 恺（预算处）</dc:creator>
  <cp:lastModifiedBy>Administrator</cp:lastModifiedBy>
  <cp:lastPrinted>2018-12-31T10:56:00Z</cp:lastPrinted>
  <dcterms:modified xsi:type="dcterms:W3CDTF">2022-03-31T02:51:00Z</dcterms:modified>
  <cp:revision>65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21EF0CDCB73D4B8D8FAC715995DB8275</vt:lpwstr>
  </property>
</Properties>
</file>